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FAD7" w14:textId="77777777" w:rsidR="00B20CE8" w:rsidRPr="002F4BEB" w:rsidRDefault="00B20CE8" w:rsidP="00B20CE8">
      <w:pPr>
        <w:pStyle w:val="NormalWeb"/>
        <w:jc w:val="center"/>
        <w:rPr>
          <w:rFonts w:ascii="Tahoma" w:hAnsi="Tahoma" w:cs="Tahoma"/>
          <w:b/>
          <w:color w:val="000000"/>
          <w:sz w:val="28"/>
          <w:szCs w:val="28"/>
        </w:rPr>
      </w:pPr>
      <w:r w:rsidRPr="002F4BEB">
        <w:rPr>
          <w:rFonts w:ascii="Tahoma" w:hAnsi="Tahoma" w:cs="Tahoma"/>
          <w:b/>
          <w:color w:val="000000"/>
          <w:sz w:val="28"/>
          <w:szCs w:val="28"/>
        </w:rPr>
        <w:t>COORDINACIÓN DE INSTITUCIONES FORMADORAS DE DOCENTES.</w:t>
      </w:r>
    </w:p>
    <w:p w14:paraId="5016B710" w14:textId="77777777" w:rsidR="00B20CE8" w:rsidRPr="00F01A1F" w:rsidRDefault="00B20CE8" w:rsidP="00B20CE8">
      <w:pPr>
        <w:pStyle w:val="NormalWeb"/>
        <w:jc w:val="center"/>
        <w:rPr>
          <w:rFonts w:ascii="Tahoma" w:hAnsi="Tahoma" w:cs="Tahoma"/>
          <w:b/>
          <w:color w:val="000000"/>
        </w:rPr>
      </w:pPr>
      <w:r>
        <w:rPr>
          <w:rFonts w:ascii="Tahoma" w:hAnsi="Tahoma" w:cs="Tahoma"/>
          <w:b/>
          <w:color w:val="000000"/>
        </w:rPr>
        <w:t>Informe d</w:t>
      </w:r>
      <w:r w:rsidRPr="00FE4551">
        <w:rPr>
          <w:rFonts w:ascii="Tahoma" w:hAnsi="Tahoma" w:cs="Tahoma"/>
          <w:b/>
          <w:color w:val="000000"/>
        </w:rPr>
        <w:t>e Actividades</w:t>
      </w:r>
      <w:r>
        <w:rPr>
          <w:rFonts w:ascii="Tahoma" w:hAnsi="Tahoma" w:cs="Tahoma"/>
          <w:b/>
          <w:color w:val="000000"/>
        </w:rPr>
        <w:t xml:space="preserve"> abril-junio 2023 </w:t>
      </w:r>
    </w:p>
    <w:p w14:paraId="1279BA0E" w14:textId="77777777" w:rsidR="00B20CE8" w:rsidRPr="00313D72" w:rsidRDefault="00B20CE8" w:rsidP="00B20CE8">
      <w:pPr>
        <w:jc w:val="center"/>
        <w:rPr>
          <w:b/>
        </w:rPr>
      </w:pPr>
      <w:r w:rsidRPr="00313D72">
        <w:rPr>
          <w:b/>
        </w:rPr>
        <w:t>PROGRAMA FEDERAL: ESTRATEGIA PARA EL DESARROLLO INSTITUCIONAL DE LA ESCUELA NORMAL</w:t>
      </w:r>
      <w:r>
        <w:rPr>
          <w:b/>
        </w:rPr>
        <w:t xml:space="preserve"> </w:t>
      </w:r>
      <w:r w:rsidRPr="00313D72">
        <w:rPr>
          <w:b/>
        </w:rPr>
        <w:t>EDINEN 202</w:t>
      </w:r>
      <w:r>
        <w:rPr>
          <w:b/>
        </w:rPr>
        <w:t>3</w:t>
      </w:r>
    </w:p>
    <w:tbl>
      <w:tblPr>
        <w:tblStyle w:val="Tablaconcuadrcula"/>
        <w:tblW w:w="13887" w:type="dxa"/>
        <w:tblLayout w:type="fixed"/>
        <w:tblLook w:val="04A0" w:firstRow="1" w:lastRow="0" w:firstColumn="1" w:lastColumn="0" w:noHBand="0" w:noVBand="1"/>
      </w:tblPr>
      <w:tblGrid>
        <w:gridCol w:w="1698"/>
        <w:gridCol w:w="1274"/>
        <w:gridCol w:w="1701"/>
        <w:gridCol w:w="1985"/>
        <w:gridCol w:w="1417"/>
        <w:gridCol w:w="4253"/>
        <w:gridCol w:w="1559"/>
      </w:tblGrid>
      <w:tr w:rsidR="00B20CE8" w:rsidRPr="001E6E3E" w14:paraId="1C3DE112" w14:textId="77777777" w:rsidTr="00B20CE8">
        <w:tc>
          <w:tcPr>
            <w:tcW w:w="1698" w:type="dxa"/>
            <w:shd w:val="clear" w:color="auto" w:fill="BFBFBF" w:themeFill="background1" w:themeFillShade="BF"/>
            <w:vAlign w:val="center"/>
          </w:tcPr>
          <w:p w14:paraId="62E36B5F" w14:textId="77777777" w:rsidR="00B20CE8" w:rsidRPr="00D33F55" w:rsidRDefault="00B20CE8" w:rsidP="007463BB">
            <w:pPr>
              <w:jc w:val="center"/>
              <w:rPr>
                <w:rFonts w:ascii="Tahoma" w:hAnsi="Tahoma" w:cs="Tahoma"/>
                <w:b/>
                <w:sz w:val="19"/>
                <w:szCs w:val="19"/>
              </w:rPr>
            </w:pPr>
            <w:r w:rsidRPr="00D33F55">
              <w:rPr>
                <w:rFonts w:ascii="Tahoma" w:hAnsi="Tahoma" w:cs="Tahoma"/>
                <w:b/>
                <w:sz w:val="19"/>
                <w:szCs w:val="19"/>
              </w:rPr>
              <w:t>INSTITUCIÓN</w:t>
            </w:r>
          </w:p>
        </w:tc>
        <w:tc>
          <w:tcPr>
            <w:tcW w:w="1274" w:type="dxa"/>
            <w:shd w:val="clear" w:color="auto" w:fill="BFBFBF" w:themeFill="background1" w:themeFillShade="BF"/>
            <w:vAlign w:val="center"/>
          </w:tcPr>
          <w:p w14:paraId="499B15DF" w14:textId="77777777" w:rsidR="00B20CE8" w:rsidRPr="00D33F55" w:rsidRDefault="00B20CE8" w:rsidP="007463BB">
            <w:pPr>
              <w:jc w:val="center"/>
              <w:rPr>
                <w:rFonts w:ascii="Tahoma" w:hAnsi="Tahoma" w:cs="Tahoma"/>
                <w:b/>
                <w:sz w:val="19"/>
                <w:szCs w:val="19"/>
              </w:rPr>
            </w:pPr>
            <w:r w:rsidRPr="00D33F55">
              <w:rPr>
                <w:rFonts w:ascii="Tahoma" w:hAnsi="Tahoma" w:cs="Tahoma"/>
                <w:b/>
                <w:sz w:val="19"/>
                <w:szCs w:val="19"/>
              </w:rPr>
              <w:t>NO. DOCENTES</w:t>
            </w:r>
          </w:p>
        </w:tc>
        <w:tc>
          <w:tcPr>
            <w:tcW w:w="1701" w:type="dxa"/>
            <w:shd w:val="clear" w:color="auto" w:fill="BFBFBF" w:themeFill="background1" w:themeFillShade="BF"/>
            <w:vAlign w:val="center"/>
          </w:tcPr>
          <w:p w14:paraId="5DA2D73D" w14:textId="77777777" w:rsidR="00B20CE8" w:rsidRPr="00D33F55" w:rsidRDefault="00B20CE8" w:rsidP="007463BB">
            <w:pPr>
              <w:jc w:val="center"/>
              <w:rPr>
                <w:rFonts w:ascii="Tahoma" w:hAnsi="Tahoma" w:cs="Tahoma"/>
                <w:b/>
                <w:sz w:val="19"/>
                <w:szCs w:val="19"/>
              </w:rPr>
            </w:pPr>
            <w:r w:rsidRPr="00D33F55">
              <w:rPr>
                <w:rFonts w:ascii="Tahoma" w:hAnsi="Tahoma" w:cs="Tahoma"/>
                <w:b/>
                <w:sz w:val="19"/>
                <w:szCs w:val="19"/>
              </w:rPr>
              <w:t>NO. DE BENEFICIARIOS</w:t>
            </w:r>
          </w:p>
        </w:tc>
        <w:tc>
          <w:tcPr>
            <w:tcW w:w="1985" w:type="dxa"/>
            <w:shd w:val="clear" w:color="auto" w:fill="BFBFBF" w:themeFill="background1" w:themeFillShade="BF"/>
            <w:vAlign w:val="center"/>
          </w:tcPr>
          <w:p w14:paraId="4B282716" w14:textId="77777777" w:rsidR="00B20CE8" w:rsidRPr="00D33F55" w:rsidRDefault="00B20CE8" w:rsidP="007463BB">
            <w:pPr>
              <w:jc w:val="center"/>
              <w:rPr>
                <w:rFonts w:ascii="Tahoma" w:hAnsi="Tahoma" w:cs="Tahoma"/>
                <w:b/>
                <w:sz w:val="19"/>
                <w:szCs w:val="19"/>
              </w:rPr>
            </w:pPr>
            <w:r w:rsidRPr="00D33F55">
              <w:rPr>
                <w:rFonts w:ascii="Tahoma" w:hAnsi="Tahoma" w:cs="Tahoma"/>
                <w:b/>
                <w:sz w:val="19"/>
                <w:szCs w:val="19"/>
              </w:rPr>
              <w:t>MONTO DE INVERSIÓN AUTORIZADO</w:t>
            </w:r>
          </w:p>
        </w:tc>
        <w:tc>
          <w:tcPr>
            <w:tcW w:w="1417" w:type="dxa"/>
            <w:shd w:val="clear" w:color="auto" w:fill="BFBFBF" w:themeFill="background1" w:themeFillShade="BF"/>
            <w:vAlign w:val="center"/>
          </w:tcPr>
          <w:p w14:paraId="5E704E5B" w14:textId="77777777" w:rsidR="00B20CE8" w:rsidRPr="00D33F55" w:rsidRDefault="00B20CE8" w:rsidP="007463BB">
            <w:pPr>
              <w:jc w:val="center"/>
              <w:rPr>
                <w:rFonts w:ascii="Tahoma" w:hAnsi="Tahoma" w:cs="Tahoma"/>
                <w:b/>
                <w:sz w:val="19"/>
                <w:szCs w:val="19"/>
              </w:rPr>
            </w:pPr>
            <w:r w:rsidRPr="00D33F55">
              <w:rPr>
                <w:rFonts w:ascii="Tahoma" w:hAnsi="Tahoma" w:cs="Tahoma"/>
                <w:b/>
                <w:sz w:val="19"/>
                <w:szCs w:val="19"/>
              </w:rPr>
              <w:t>MONTO DE INVERSIÓN EJERCIDO</w:t>
            </w:r>
          </w:p>
        </w:tc>
        <w:tc>
          <w:tcPr>
            <w:tcW w:w="4253" w:type="dxa"/>
            <w:shd w:val="clear" w:color="auto" w:fill="BFBFBF" w:themeFill="background1" w:themeFillShade="BF"/>
            <w:vAlign w:val="center"/>
          </w:tcPr>
          <w:p w14:paraId="157AF152" w14:textId="77777777" w:rsidR="00B20CE8" w:rsidRPr="00D33F55" w:rsidRDefault="00B20CE8" w:rsidP="007463BB">
            <w:pPr>
              <w:jc w:val="center"/>
              <w:rPr>
                <w:rFonts w:ascii="Tahoma" w:hAnsi="Tahoma" w:cs="Tahoma"/>
                <w:b/>
                <w:sz w:val="19"/>
                <w:szCs w:val="19"/>
              </w:rPr>
            </w:pPr>
            <w:r w:rsidRPr="00D33F55">
              <w:rPr>
                <w:rFonts w:ascii="Tahoma" w:hAnsi="Tahoma" w:cs="Tahoma"/>
                <w:b/>
                <w:sz w:val="19"/>
                <w:szCs w:val="19"/>
              </w:rPr>
              <w:t>IMPACTO ESPERADO</w:t>
            </w:r>
          </w:p>
        </w:tc>
        <w:tc>
          <w:tcPr>
            <w:tcW w:w="1559" w:type="dxa"/>
            <w:shd w:val="clear" w:color="auto" w:fill="BFBFBF" w:themeFill="background1" w:themeFillShade="BF"/>
            <w:vAlign w:val="center"/>
          </w:tcPr>
          <w:p w14:paraId="28889EB9" w14:textId="77777777" w:rsidR="00B20CE8" w:rsidRPr="00D33F55" w:rsidRDefault="00B20CE8" w:rsidP="007463BB">
            <w:pPr>
              <w:jc w:val="center"/>
              <w:rPr>
                <w:rFonts w:ascii="Tahoma" w:hAnsi="Tahoma" w:cs="Tahoma"/>
                <w:b/>
                <w:sz w:val="19"/>
                <w:szCs w:val="19"/>
              </w:rPr>
            </w:pPr>
            <w:r w:rsidRPr="00D33F55">
              <w:rPr>
                <w:rFonts w:ascii="Tahoma" w:hAnsi="Tahoma" w:cs="Tahoma"/>
                <w:b/>
                <w:sz w:val="19"/>
                <w:szCs w:val="19"/>
              </w:rPr>
              <w:t>OBS</w:t>
            </w:r>
          </w:p>
        </w:tc>
      </w:tr>
      <w:tr w:rsidR="00B20CE8" w:rsidRPr="001E6E3E" w14:paraId="44EAA319" w14:textId="77777777" w:rsidTr="00B20CE8">
        <w:trPr>
          <w:trHeight w:val="2665"/>
        </w:trPr>
        <w:tc>
          <w:tcPr>
            <w:tcW w:w="1698" w:type="dxa"/>
            <w:vAlign w:val="center"/>
          </w:tcPr>
          <w:p w14:paraId="0CF03C6B" w14:textId="77777777" w:rsidR="00B20CE8" w:rsidRDefault="00B20CE8" w:rsidP="007463BB">
            <w:pPr>
              <w:jc w:val="center"/>
              <w:rPr>
                <w:rFonts w:ascii="Tahoma" w:hAnsi="Tahoma" w:cs="Tahoma"/>
                <w:b/>
                <w:bCs/>
                <w:sz w:val="20"/>
                <w:szCs w:val="20"/>
              </w:rPr>
            </w:pPr>
            <w:r w:rsidRPr="003B4E81">
              <w:rPr>
                <w:rFonts w:ascii="Tahoma" w:hAnsi="Tahoma" w:cs="Tahoma"/>
                <w:b/>
                <w:bCs/>
                <w:sz w:val="20"/>
                <w:szCs w:val="20"/>
              </w:rPr>
              <w:t>Coordinación de Instituciones Formadoras de Docentes</w:t>
            </w:r>
          </w:p>
          <w:p w14:paraId="774A9648" w14:textId="77777777" w:rsidR="00B20CE8" w:rsidRPr="003B4E81" w:rsidRDefault="00B20CE8" w:rsidP="007463BB">
            <w:pPr>
              <w:jc w:val="center"/>
              <w:rPr>
                <w:rFonts w:ascii="Tahoma" w:hAnsi="Tahoma" w:cs="Tahoma"/>
                <w:b/>
                <w:bCs/>
                <w:sz w:val="20"/>
                <w:szCs w:val="20"/>
              </w:rPr>
            </w:pPr>
            <w:r>
              <w:rPr>
                <w:rFonts w:ascii="Tahoma" w:hAnsi="Tahoma" w:cs="Tahoma"/>
                <w:b/>
                <w:bCs/>
                <w:sz w:val="20"/>
                <w:szCs w:val="20"/>
              </w:rPr>
              <w:t>(CIFD)</w:t>
            </w:r>
          </w:p>
        </w:tc>
        <w:tc>
          <w:tcPr>
            <w:tcW w:w="1274" w:type="dxa"/>
            <w:vAlign w:val="center"/>
          </w:tcPr>
          <w:p w14:paraId="037437F4" w14:textId="77777777" w:rsidR="00B20CE8" w:rsidRDefault="00B20CE8" w:rsidP="007463BB">
            <w:pPr>
              <w:jc w:val="center"/>
              <w:rPr>
                <w:rFonts w:ascii="Tahoma" w:hAnsi="Tahoma" w:cs="Tahoma"/>
                <w:sz w:val="20"/>
                <w:szCs w:val="20"/>
              </w:rPr>
            </w:pPr>
            <w:r>
              <w:rPr>
                <w:rFonts w:ascii="Tahoma" w:hAnsi="Tahoma" w:cs="Tahoma"/>
                <w:sz w:val="20"/>
                <w:szCs w:val="20"/>
              </w:rPr>
              <w:t>270 docentes</w:t>
            </w:r>
          </w:p>
          <w:p w14:paraId="1C933F6B" w14:textId="77777777" w:rsidR="00B20CE8" w:rsidRPr="009873BB" w:rsidRDefault="00B20CE8" w:rsidP="007463BB">
            <w:pPr>
              <w:jc w:val="center"/>
              <w:rPr>
                <w:rFonts w:ascii="Tahoma" w:hAnsi="Tahoma" w:cs="Tahoma"/>
                <w:sz w:val="20"/>
                <w:szCs w:val="20"/>
              </w:rPr>
            </w:pPr>
          </w:p>
        </w:tc>
        <w:tc>
          <w:tcPr>
            <w:tcW w:w="1701" w:type="dxa"/>
            <w:vAlign w:val="center"/>
          </w:tcPr>
          <w:p w14:paraId="57F4B30D" w14:textId="77777777" w:rsidR="00B20CE8" w:rsidRDefault="00B20CE8" w:rsidP="007463BB">
            <w:pPr>
              <w:jc w:val="center"/>
              <w:rPr>
                <w:rFonts w:ascii="Tahoma" w:hAnsi="Tahoma" w:cs="Tahoma"/>
                <w:sz w:val="20"/>
                <w:szCs w:val="20"/>
              </w:rPr>
            </w:pPr>
            <w:r>
              <w:rPr>
                <w:rFonts w:ascii="Tahoma" w:hAnsi="Tahoma" w:cs="Tahoma"/>
                <w:sz w:val="20"/>
                <w:szCs w:val="20"/>
              </w:rPr>
              <w:t xml:space="preserve">2,744 estudiantes de </w:t>
            </w:r>
            <w:r w:rsidRPr="009873BB">
              <w:rPr>
                <w:rFonts w:ascii="Tahoma" w:hAnsi="Tahoma" w:cs="Tahoma"/>
                <w:sz w:val="20"/>
                <w:szCs w:val="20"/>
              </w:rPr>
              <w:t>5</w:t>
            </w:r>
            <w:r>
              <w:rPr>
                <w:rFonts w:ascii="Tahoma" w:hAnsi="Tahoma" w:cs="Tahoma"/>
                <w:sz w:val="20"/>
                <w:szCs w:val="20"/>
              </w:rPr>
              <w:t xml:space="preserve"> Instituciones Formadoras y Actualizadoras de Docentes (IFAD)</w:t>
            </w:r>
          </w:p>
          <w:p w14:paraId="6185E8FD" w14:textId="77777777" w:rsidR="00B20CE8" w:rsidRPr="009873BB" w:rsidRDefault="00B20CE8" w:rsidP="007463BB">
            <w:pPr>
              <w:jc w:val="center"/>
              <w:rPr>
                <w:rFonts w:ascii="Tahoma" w:hAnsi="Tahoma" w:cs="Tahoma"/>
                <w:sz w:val="20"/>
                <w:szCs w:val="20"/>
              </w:rPr>
            </w:pPr>
          </w:p>
        </w:tc>
        <w:tc>
          <w:tcPr>
            <w:tcW w:w="1985" w:type="dxa"/>
            <w:vAlign w:val="center"/>
          </w:tcPr>
          <w:p w14:paraId="694827FF" w14:textId="70F76266" w:rsidR="00B20CE8" w:rsidRPr="009873BB" w:rsidRDefault="00B20CE8" w:rsidP="007463BB">
            <w:pPr>
              <w:jc w:val="center"/>
              <w:rPr>
                <w:rFonts w:ascii="Tahoma" w:hAnsi="Tahoma" w:cs="Tahoma"/>
                <w:sz w:val="20"/>
                <w:szCs w:val="20"/>
              </w:rPr>
            </w:pPr>
            <w:r>
              <w:rPr>
                <w:rFonts w:ascii="Tahoma" w:hAnsi="Tahoma" w:cs="Tahoma"/>
                <w:sz w:val="20"/>
                <w:szCs w:val="20"/>
              </w:rPr>
              <w:t xml:space="preserve">Se encuentra en proceso de firmas el Convenio de Colaboración SEP- Gobierno del Estado, con </w:t>
            </w:r>
            <w:r w:rsidR="0005559C">
              <w:rPr>
                <w:rFonts w:ascii="Tahoma" w:hAnsi="Tahoma" w:cs="Tahoma"/>
                <w:sz w:val="20"/>
                <w:szCs w:val="20"/>
              </w:rPr>
              <w:t xml:space="preserve">                     </w:t>
            </w:r>
            <w:r>
              <w:rPr>
                <w:rFonts w:ascii="Tahoma" w:hAnsi="Tahoma" w:cs="Tahoma"/>
                <w:sz w:val="20"/>
                <w:szCs w:val="20"/>
              </w:rPr>
              <w:t xml:space="preserve">un monto autorizado de </w:t>
            </w:r>
            <w:r w:rsidR="0005559C">
              <w:rPr>
                <w:rFonts w:ascii="Tahoma" w:hAnsi="Tahoma" w:cs="Tahoma"/>
                <w:sz w:val="20"/>
                <w:szCs w:val="20"/>
              </w:rPr>
              <w:t xml:space="preserve">                                 </w:t>
            </w:r>
            <w:r>
              <w:rPr>
                <w:rFonts w:ascii="Tahoma" w:hAnsi="Tahoma" w:cs="Tahoma"/>
                <w:sz w:val="20"/>
                <w:szCs w:val="20"/>
              </w:rPr>
              <w:t>$ 31,369,517.00, de los cuales un monto de</w:t>
            </w:r>
            <w:r w:rsidR="0005559C">
              <w:rPr>
                <w:rFonts w:ascii="Tahoma" w:hAnsi="Tahoma" w:cs="Tahoma"/>
                <w:sz w:val="20"/>
                <w:szCs w:val="20"/>
              </w:rPr>
              <w:t xml:space="preserve">                          </w:t>
            </w:r>
            <w:r>
              <w:rPr>
                <w:rFonts w:ascii="Tahoma" w:hAnsi="Tahoma" w:cs="Tahoma"/>
                <w:sz w:val="20"/>
                <w:szCs w:val="20"/>
              </w:rPr>
              <w:t xml:space="preserve"> $ 3,136,952.00, serán ejercidos, a través de ProGEN</w:t>
            </w:r>
          </w:p>
        </w:tc>
        <w:tc>
          <w:tcPr>
            <w:tcW w:w="1417" w:type="dxa"/>
            <w:vAlign w:val="center"/>
          </w:tcPr>
          <w:p w14:paraId="103345AB" w14:textId="18E362A8" w:rsidR="00B20CE8" w:rsidRPr="009873BB" w:rsidRDefault="0005559C" w:rsidP="007463BB">
            <w:pPr>
              <w:jc w:val="center"/>
              <w:rPr>
                <w:rFonts w:ascii="Tahoma" w:hAnsi="Tahoma" w:cs="Tahoma"/>
                <w:sz w:val="20"/>
                <w:szCs w:val="20"/>
              </w:rPr>
            </w:pPr>
            <w:r>
              <w:rPr>
                <w:rFonts w:ascii="Tahoma" w:hAnsi="Tahoma" w:cs="Tahoma"/>
                <w:sz w:val="20"/>
                <w:szCs w:val="20"/>
              </w:rPr>
              <w:t>-</w:t>
            </w:r>
          </w:p>
        </w:tc>
        <w:tc>
          <w:tcPr>
            <w:tcW w:w="4253" w:type="dxa"/>
          </w:tcPr>
          <w:p w14:paraId="1A047768" w14:textId="77777777" w:rsidR="00B20CE8" w:rsidRDefault="00B20CE8" w:rsidP="007463BB">
            <w:pPr>
              <w:jc w:val="both"/>
            </w:pPr>
            <w:r>
              <w:t>Dar seguimiento, acompañamiento y asesoría a las IFDP en la operación y mejora de los programas de tutoría, asesoría y apoyo a estudiantes de nuevo ingreso y regulares a través de actividades estatales periódicas para el desarrollo de habilidades y competencias que contribuyan a la formación integral de la comunidad normalista.</w:t>
            </w:r>
          </w:p>
          <w:p w14:paraId="386592CB" w14:textId="77777777" w:rsidR="00B20CE8" w:rsidRDefault="00B20CE8" w:rsidP="007463BB">
            <w:pPr>
              <w:pStyle w:val="Prrafodelista"/>
              <w:ind w:firstLine="0"/>
            </w:pPr>
            <w:r>
              <w:t>Impulsar la operación y mejora de los Programas Institucionales de Seguimiento de Egresados (PISE), mediante la consolidación de la Academia Estatal de Seguimiento de Egresados, para contribuir al logro de la excelencia educativa.</w:t>
            </w:r>
          </w:p>
          <w:p w14:paraId="2BBD5090" w14:textId="77777777" w:rsidR="00B20CE8" w:rsidRDefault="00B20CE8" w:rsidP="007463BB">
            <w:pPr>
              <w:pStyle w:val="Prrafodelista"/>
              <w:ind w:firstLine="0"/>
            </w:pPr>
            <w:bookmarkStart w:id="0" w:name="_Hlk92705735"/>
            <w:r>
              <w:t xml:space="preserve">Desarrollar las competencias de la comunidad normalista, formación y consolidación de cuerpos académicos, a través de diversas acciones de colaboración con entes nacionales e internacionales reconocidos por la formación inicial y profesional docente; </w:t>
            </w:r>
            <w:r>
              <w:lastRenderedPageBreak/>
              <w:t>para asegurar el máximo logro de la excelencia educativa en las IFDP.</w:t>
            </w:r>
            <w:bookmarkEnd w:id="0"/>
          </w:p>
          <w:p w14:paraId="18C85D7C" w14:textId="77777777" w:rsidR="00B20CE8" w:rsidRDefault="00B20CE8" w:rsidP="007463BB">
            <w:pPr>
              <w:pStyle w:val="Prrafodelista"/>
              <w:ind w:firstLine="0"/>
            </w:pPr>
            <w:r>
              <w:t>Promover la certificación en TIC y una segunda lengua (inglés, francés y lenguas de la región) mediante programas de formación y actualización profesional, para atender las necesidades y cerrar brechas entre estudiantes, docentes y autoridades de la comunidad normalista.</w:t>
            </w:r>
          </w:p>
          <w:p w14:paraId="59B7283A" w14:textId="77777777" w:rsidR="00B20CE8" w:rsidRDefault="00B20CE8" w:rsidP="007463BB">
            <w:pPr>
              <w:pStyle w:val="Prrafodelista"/>
              <w:ind w:firstLine="0"/>
              <w:rPr>
                <w:rFonts w:cs="Arial"/>
                <w:bCs/>
                <w:szCs w:val="24"/>
              </w:rPr>
            </w:pPr>
            <w:r>
              <w:rPr>
                <w:rFonts w:cs="Arial"/>
                <w:bCs/>
                <w:szCs w:val="24"/>
              </w:rPr>
              <w:t>Promover la participación de figuras directivas y docentes en procesos capacitación sobre diseño de programas de formación o metodología de diseño curricular mediante la generación de espacios académicos en diferentes modalidades, para contar con planes y programas de estudio acordes a los contextos de las IFDP.</w:t>
            </w:r>
          </w:p>
          <w:p w14:paraId="628F0C2A" w14:textId="77777777" w:rsidR="00B20CE8" w:rsidRDefault="00B20CE8" w:rsidP="007463BB">
            <w:pPr>
              <w:pStyle w:val="Prrafodelista"/>
              <w:ind w:firstLine="0"/>
            </w:pPr>
            <w:r>
              <w:t>Consolidar el liderazgo académico y gestión institucional de directivos, a través de acciones de coordinación y comunicación permanentes con autoridades educativas para fortalecer la toma de decisiones que contribuyan a la mejora en la organización y funcionamiento de la CIFD y de las IFDP.</w:t>
            </w:r>
          </w:p>
          <w:p w14:paraId="6FFE6188" w14:textId="77777777" w:rsidR="00F65D65" w:rsidRDefault="00B20CE8" w:rsidP="007463BB">
            <w:pPr>
              <w:pStyle w:val="Prrafodelista"/>
              <w:ind w:firstLine="0"/>
            </w:pPr>
            <w:r>
              <w:t xml:space="preserve">Impulsar la acreditación de programas educativos y la certificación de procesos de gestión a través de acciones de </w:t>
            </w:r>
          </w:p>
          <w:p w14:paraId="05A2BCC4" w14:textId="77777777" w:rsidR="00F65D65" w:rsidRDefault="00F65D65" w:rsidP="007463BB">
            <w:pPr>
              <w:pStyle w:val="Prrafodelista"/>
              <w:ind w:firstLine="0"/>
            </w:pPr>
          </w:p>
          <w:p w14:paraId="0D14B1BE" w14:textId="77777777" w:rsidR="00F65D65" w:rsidRDefault="00F65D65" w:rsidP="007463BB">
            <w:pPr>
              <w:pStyle w:val="Prrafodelista"/>
              <w:ind w:firstLine="0"/>
            </w:pPr>
          </w:p>
          <w:p w14:paraId="24D291F5" w14:textId="4F305AB5" w:rsidR="00B20CE8" w:rsidRDefault="00B20CE8" w:rsidP="007463BB">
            <w:pPr>
              <w:pStyle w:val="Prrafodelista"/>
              <w:ind w:firstLine="0"/>
            </w:pPr>
            <w:r>
              <w:t>capacitación y asesoría, para contribuir a mejorar la competitividad de las IFDP.</w:t>
            </w:r>
          </w:p>
          <w:p w14:paraId="3D3630A8" w14:textId="77777777" w:rsidR="00B20CE8" w:rsidRDefault="00B20CE8" w:rsidP="007463BB">
            <w:pPr>
              <w:pStyle w:val="Prrafodelista"/>
              <w:ind w:firstLine="0"/>
            </w:pPr>
            <w:r>
              <w:t>Promover acciones para que las IFDP y la CIFD cuenten con programas que deriven en el desarrollo de competencias y habilidades investigativas, mediante el fortalecimiento de las áreas de investigación.</w:t>
            </w:r>
          </w:p>
          <w:p w14:paraId="62F56FE6" w14:textId="77777777" w:rsidR="00B20CE8" w:rsidRDefault="00B20CE8" w:rsidP="007463BB">
            <w:pPr>
              <w:pStyle w:val="Prrafodelista"/>
              <w:ind w:firstLine="0"/>
            </w:pPr>
            <w:r>
              <w:t>Dar seguimiento al uso eficiente de los recursos asignados en la EDINEN, mediante procesos de transparencia y rendición de cuentas, que garanticen la atención de las necesidades académicas, de infraestructura y equipamiento de la CIFD y las IFDP.</w:t>
            </w:r>
          </w:p>
          <w:p w14:paraId="7AD48A8B" w14:textId="77777777" w:rsidR="00B20CE8" w:rsidRDefault="00B20CE8" w:rsidP="007463BB">
            <w:pPr>
              <w:pStyle w:val="Prrafodelista"/>
              <w:ind w:firstLine="0"/>
            </w:pPr>
            <w:r>
              <w:t>Promover la mejora de la capacidad física y su grado de utilización en la CIFD y las IFDP, cuidando la pertinencia de los planes maestros de construcción y el uso eficiente de los recursos, para contribuir al logro de la excelencia educativa.</w:t>
            </w:r>
          </w:p>
          <w:p w14:paraId="4E91CCD8" w14:textId="77777777" w:rsidR="00B20CE8" w:rsidRDefault="00B20CE8" w:rsidP="007463BB">
            <w:pPr>
              <w:pStyle w:val="Prrafodelista"/>
              <w:ind w:firstLine="0"/>
            </w:pPr>
          </w:p>
          <w:p w14:paraId="7CD2C6B5" w14:textId="77777777" w:rsidR="00B20CE8" w:rsidRPr="00C12C29" w:rsidRDefault="00B20CE8" w:rsidP="007463BB">
            <w:pPr>
              <w:pStyle w:val="Prrafodelista"/>
              <w:ind w:firstLine="0"/>
            </w:pPr>
          </w:p>
        </w:tc>
        <w:tc>
          <w:tcPr>
            <w:tcW w:w="1559" w:type="dxa"/>
            <w:vAlign w:val="center"/>
          </w:tcPr>
          <w:p w14:paraId="3D1E0D22" w14:textId="77777777" w:rsidR="00B20CE8" w:rsidRPr="009873BB" w:rsidRDefault="00B20CE8" w:rsidP="007463BB">
            <w:pPr>
              <w:jc w:val="center"/>
              <w:rPr>
                <w:rFonts w:ascii="Tahoma" w:hAnsi="Tahoma" w:cs="Tahoma"/>
                <w:sz w:val="20"/>
                <w:szCs w:val="20"/>
              </w:rPr>
            </w:pPr>
            <w:r>
              <w:rPr>
                <w:rFonts w:ascii="Tahoma" w:hAnsi="Tahoma" w:cs="Tahoma"/>
                <w:sz w:val="20"/>
                <w:szCs w:val="20"/>
              </w:rPr>
              <w:lastRenderedPageBreak/>
              <w:t>A la fecha aún no se radican los recursos de la Federación a la entidad.</w:t>
            </w:r>
          </w:p>
        </w:tc>
      </w:tr>
      <w:tr w:rsidR="00B20CE8" w:rsidRPr="001E6E3E" w14:paraId="45F722AF" w14:textId="77777777" w:rsidTr="00B20CE8">
        <w:trPr>
          <w:trHeight w:val="1719"/>
        </w:trPr>
        <w:tc>
          <w:tcPr>
            <w:tcW w:w="1698" w:type="dxa"/>
            <w:vAlign w:val="center"/>
          </w:tcPr>
          <w:p w14:paraId="787FD670" w14:textId="77777777" w:rsidR="00B20CE8" w:rsidRPr="003952A6" w:rsidRDefault="00B20CE8" w:rsidP="007463BB">
            <w:pPr>
              <w:jc w:val="center"/>
              <w:rPr>
                <w:rFonts w:ascii="Tahoma" w:hAnsi="Tahoma" w:cs="Tahoma"/>
                <w:b/>
                <w:bCs/>
                <w:sz w:val="20"/>
                <w:szCs w:val="20"/>
              </w:rPr>
            </w:pPr>
            <w:r w:rsidRPr="003952A6">
              <w:rPr>
                <w:rFonts w:ascii="Tahoma" w:hAnsi="Tahoma" w:cs="Tahoma"/>
                <w:b/>
                <w:bCs/>
                <w:sz w:val="20"/>
                <w:szCs w:val="20"/>
              </w:rPr>
              <w:lastRenderedPageBreak/>
              <w:t xml:space="preserve">Escuela Normal </w:t>
            </w:r>
            <w:r w:rsidRPr="003952A6">
              <w:rPr>
                <w:rFonts w:ascii="Tahoma" w:hAnsi="Tahoma" w:cs="Tahoma"/>
                <w:b/>
                <w:bCs/>
                <w:sz w:val="20"/>
                <w:szCs w:val="20"/>
              </w:rPr>
              <w:br/>
              <w:t>Rural “J. Gpe. Aguilera</w:t>
            </w:r>
          </w:p>
        </w:tc>
        <w:tc>
          <w:tcPr>
            <w:tcW w:w="1274" w:type="dxa"/>
            <w:vAlign w:val="center"/>
          </w:tcPr>
          <w:p w14:paraId="5B527727" w14:textId="77777777" w:rsidR="00B20CE8" w:rsidRPr="009873BB" w:rsidRDefault="00B20CE8" w:rsidP="007463BB">
            <w:pPr>
              <w:jc w:val="center"/>
              <w:rPr>
                <w:rFonts w:ascii="Tahoma" w:hAnsi="Tahoma" w:cs="Tahoma"/>
                <w:sz w:val="20"/>
                <w:szCs w:val="20"/>
              </w:rPr>
            </w:pPr>
            <w:r>
              <w:rPr>
                <w:rFonts w:ascii="Tahoma" w:hAnsi="Tahoma" w:cs="Tahoma"/>
                <w:sz w:val="20"/>
                <w:szCs w:val="20"/>
              </w:rPr>
              <w:t>49</w:t>
            </w:r>
          </w:p>
        </w:tc>
        <w:tc>
          <w:tcPr>
            <w:tcW w:w="1701" w:type="dxa"/>
            <w:vAlign w:val="center"/>
          </w:tcPr>
          <w:p w14:paraId="05B205BD" w14:textId="77777777" w:rsidR="00B20CE8" w:rsidRDefault="00B20CE8" w:rsidP="007463BB">
            <w:pPr>
              <w:jc w:val="center"/>
              <w:rPr>
                <w:rFonts w:ascii="Tahoma" w:hAnsi="Tahoma" w:cs="Tahoma"/>
                <w:sz w:val="20"/>
                <w:szCs w:val="20"/>
              </w:rPr>
            </w:pPr>
            <w:r>
              <w:rPr>
                <w:rFonts w:ascii="Tahoma" w:hAnsi="Tahoma" w:cs="Tahoma"/>
                <w:sz w:val="20"/>
                <w:szCs w:val="20"/>
              </w:rPr>
              <w:t>409 estudiantes</w:t>
            </w:r>
          </w:p>
          <w:p w14:paraId="1992CCB9" w14:textId="77777777" w:rsidR="00B20CE8" w:rsidRPr="009873BB" w:rsidRDefault="00B20CE8" w:rsidP="007463BB">
            <w:pPr>
              <w:jc w:val="center"/>
              <w:rPr>
                <w:rFonts w:ascii="Tahoma" w:hAnsi="Tahoma" w:cs="Tahoma"/>
                <w:sz w:val="20"/>
                <w:szCs w:val="20"/>
              </w:rPr>
            </w:pPr>
            <w:r>
              <w:rPr>
                <w:rFonts w:ascii="Tahoma" w:hAnsi="Tahoma" w:cs="Tahoma"/>
                <w:sz w:val="20"/>
                <w:szCs w:val="20"/>
              </w:rPr>
              <w:t>Municipio de Canatlán Durango</w:t>
            </w:r>
          </w:p>
        </w:tc>
        <w:tc>
          <w:tcPr>
            <w:tcW w:w="1985" w:type="dxa"/>
            <w:vAlign w:val="center"/>
          </w:tcPr>
          <w:p w14:paraId="2FC49D5D" w14:textId="77777777" w:rsidR="00B20CE8" w:rsidRPr="009873BB" w:rsidRDefault="00B20CE8" w:rsidP="007463BB">
            <w:pPr>
              <w:jc w:val="center"/>
              <w:rPr>
                <w:rFonts w:ascii="Tahoma" w:hAnsi="Tahoma" w:cs="Tahoma"/>
                <w:sz w:val="20"/>
                <w:szCs w:val="20"/>
              </w:rPr>
            </w:pPr>
            <w:r>
              <w:rPr>
                <w:rFonts w:ascii="Tahoma" w:hAnsi="Tahoma" w:cs="Tahoma"/>
                <w:sz w:val="20"/>
                <w:szCs w:val="20"/>
              </w:rPr>
              <w:t>11,999,459.00</w:t>
            </w:r>
          </w:p>
        </w:tc>
        <w:tc>
          <w:tcPr>
            <w:tcW w:w="1417" w:type="dxa"/>
            <w:vAlign w:val="center"/>
          </w:tcPr>
          <w:p w14:paraId="24D5CF8E" w14:textId="77777777" w:rsidR="00B20CE8" w:rsidRPr="009873BB" w:rsidRDefault="00B20CE8" w:rsidP="007463BB">
            <w:pPr>
              <w:jc w:val="center"/>
              <w:rPr>
                <w:rFonts w:ascii="Tahoma" w:hAnsi="Tahoma" w:cs="Tahoma"/>
                <w:sz w:val="20"/>
                <w:szCs w:val="20"/>
              </w:rPr>
            </w:pPr>
            <w:r>
              <w:rPr>
                <w:rFonts w:ascii="Tahoma" w:hAnsi="Tahoma" w:cs="Tahoma"/>
                <w:sz w:val="20"/>
                <w:szCs w:val="20"/>
              </w:rPr>
              <w:t>-</w:t>
            </w:r>
          </w:p>
        </w:tc>
        <w:tc>
          <w:tcPr>
            <w:tcW w:w="4253" w:type="dxa"/>
          </w:tcPr>
          <w:p w14:paraId="2EB46A41" w14:textId="77777777" w:rsidR="00F65D65" w:rsidRDefault="00B20CE8" w:rsidP="007463BB">
            <w:pPr>
              <w:jc w:val="both"/>
            </w:pPr>
            <w:r>
              <w:t xml:space="preserve">Mejorar los servicios de la EN, mediante la evaluación de los programas educativos y la certificación de procesos; así como en el incremento de docentes capacitados, espacios habilitados para la atención de necesidades académicas y profesionales desde del PIT, la asesoría y atención </w:t>
            </w:r>
          </w:p>
          <w:p w14:paraId="3DC669EC" w14:textId="77777777" w:rsidR="00F65D65" w:rsidRDefault="00F65D65" w:rsidP="007463BB">
            <w:pPr>
              <w:jc w:val="both"/>
            </w:pPr>
          </w:p>
          <w:p w14:paraId="39883B1A" w14:textId="5A5D0645" w:rsidR="00B20CE8" w:rsidRDefault="00B20CE8" w:rsidP="007463BB">
            <w:pPr>
              <w:jc w:val="both"/>
            </w:pPr>
            <w:r>
              <w:t>académica, trayectos formativos desde la ruralidad, con el fin de brindar acompañamiento a estudiantes de nuevo ingreso y regulares, culminando con la difusión de la sistematización de experiencias.</w:t>
            </w:r>
          </w:p>
          <w:p w14:paraId="3A5016FB" w14:textId="77777777" w:rsidR="00B20CE8" w:rsidRDefault="00B20CE8" w:rsidP="007463BB">
            <w:pPr>
              <w:jc w:val="both"/>
            </w:pPr>
            <w:r>
              <w:t>Actualizar los conocimientos y habilidades de los docentes que realizan investigación mediante participación en eventos, herramientas y publicaciones, equipamiento, que fortalezcan su trabajo académico e institucional, producción académica y el logro de perfiles PRODEP, a partir de la investigación y las LGAC que desarrollan.</w:t>
            </w:r>
          </w:p>
          <w:p w14:paraId="2D8E806A" w14:textId="77777777" w:rsidR="00B20CE8" w:rsidRDefault="00B20CE8" w:rsidP="007463BB">
            <w:pPr>
              <w:jc w:val="both"/>
            </w:pPr>
            <w:r>
              <w:t>Movilidad para directivos, docentes y alumnos, a través de acuerdos de colaboración con diversas instituciones nacionales e internacionales, para favorecer los intercambios, vinculación académica, LGCA, redes de colaboración y comunidades de aprendizaje, que impacten en el fortalecimiento académico e investigativo de la comunidad normalista.</w:t>
            </w:r>
          </w:p>
          <w:p w14:paraId="4EE12532" w14:textId="77777777" w:rsidR="00B20CE8" w:rsidRDefault="00B20CE8" w:rsidP="007463BB">
            <w:pPr>
              <w:jc w:val="both"/>
            </w:pPr>
            <w:r>
              <w:t>Impulsar la habilitación, capacitación y certificación de los diversos actores institucionales, mediante la participación en programas de posgrado, procesos formativos y generación de convenios que permitan fortalecer las competencias profesionales, adquirir el perfil deseable y mejorar la calidad del servicio educativo.</w:t>
            </w:r>
          </w:p>
          <w:p w14:paraId="06D7C26C" w14:textId="77777777" w:rsidR="00B20CE8" w:rsidRDefault="00B20CE8" w:rsidP="007463BB">
            <w:pPr>
              <w:jc w:val="both"/>
            </w:pPr>
          </w:p>
          <w:p w14:paraId="2E5CBBF8" w14:textId="77777777" w:rsidR="00B20CE8" w:rsidRPr="00342EE8" w:rsidRDefault="00B20CE8" w:rsidP="007463BB">
            <w:pPr>
              <w:jc w:val="both"/>
              <w:rPr>
                <w:rFonts w:ascii="Tahoma" w:hAnsi="Tahoma" w:cs="Tahoma"/>
                <w:sz w:val="20"/>
                <w:szCs w:val="20"/>
              </w:rPr>
            </w:pPr>
            <w:r>
              <w:lastRenderedPageBreak/>
              <w:t>Fortalecer la gestión para mejorar la organización, el funcionamiento y la calidad de la oferta educativa, la construcción, mejoramiento y mantenimiento de espacios académicos, administrativos, deportivos y culturales de la EN.</w:t>
            </w:r>
          </w:p>
        </w:tc>
        <w:tc>
          <w:tcPr>
            <w:tcW w:w="1559" w:type="dxa"/>
            <w:vAlign w:val="center"/>
          </w:tcPr>
          <w:p w14:paraId="36A3D38A" w14:textId="77777777" w:rsidR="00B20CE8" w:rsidRPr="009873BB" w:rsidRDefault="00B20CE8" w:rsidP="007463BB">
            <w:pPr>
              <w:jc w:val="center"/>
              <w:rPr>
                <w:rFonts w:ascii="Tahoma" w:hAnsi="Tahoma" w:cs="Tahoma"/>
                <w:sz w:val="20"/>
                <w:szCs w:val="20"/>
              </w:rPr>
            </w:pPr>
            <w:r>
              <w:rPr>
                <w:rFonts w:ascii="Tahoma" w:hAnsi="Tahoma" w:cs="Tahoma"/>
                <w:sz w:val="20"/>
                <w:szCs w:val="20"/>
              </w:rPr>
              <w:lastRenderedPageBreak/>
              <w:t>-</w:t>
            </w:r>
          </w:p>
        </w:tc>
      </w:tr>
      <w:tr w:rsidR="00B20CE8" w:rsidRPr="001E6E3E" w14:paraId="13ABF9A9" w14:textId="77777777" w:rsidTr="00B20CE8">
        <w:trPr>
          <w:trHeight w:val="1240"/>
        </w:trPr>
        <w:tc>
          <w:tcPr>
            <w:tcW w:w="1698" w:type="dxa"/>
            <w:vAlign w:val="center"/>
          </w:tcPr>
          <w:p w14:paraId="34FA6D57" w14:textId="77777777" w:rsidR="00B20CE8" w:rsidRPr="003952A6" w:rsidRDefault="00B20CE8" w:rsidP="007463BB">
            <w:pPr>
              <w:pStyle w:val="Default"/>
              <w:jc w:val="center"/>
              <w:rPr>
                <w:rFonts w:ascii="Tahoma" w:hAnsi="Tahoma" w:cs="Tahoma"/>
                <w:b/>
                <w:bCs/>
                <w:sz w:val="20"/>
                <w:szCs w:val="20"/>
              </w:rPr>
            </w:pPr>
            <w:r w:rsidRPr="003952A6">
              <w:rPr>
                <w:rFonts w:ascii="Tahoma" w:hAnsi="Tahoma" w:cs="Tahoma"/>
                <w:b/>
                <w:bCs/>
                <w:sz w:val="20"/>
                <w:szCs w:val="20"/>
              </w:rPr>
              <w:lastRenderedPageBreak/>
              <w:t>Benemérita y Centenaria Escuela Normal del Estado</w:t>
            </w:r>
          </w:p>
        </w:tc>
        <w:tc>
          <w:tcPr>
            <w:tcW w:w="1274" w:type="dxa"/>
            <w:vAlign w:val="center"/>
          </w:tcPr>
          <w:p w14:paraId="06416D50" w14:textId="77777777" w:rsidR="00B20CE8" w:rsidRPr="009873BB" w:rsidRDefault="00B20CE8" w:rsidP="007463BB">
            <w:pPr>
              <w:jc w:val="center"/>
              <w:rPr>
                <w:rFonts w:ascii="Tahoma" w:hAnsi="Tahoma" w:cs="Tahoma"/>
                <w:sz w:val="20"/>
                <w:szCs w:val="20"/>
              </w:rPr>
            </w:pPr>
            <w:r>
              <w:rPr>
                <w:rFonts w:ascii="Tahoma" w:hAnsi="Tahoma" w:cs="Tahoma"/>
                <w:sz w:val="20"/>
                <w:szCs w:val="20"/>
              </w:rPr>
              <w:t>91</w:t>
            </w:r>
          </w:p>
        </w:tc>
        <w:tc>
          <w:tcPr>
            <w:tcW w:w="1701" w:type="dxa"/>
            <w:vAlign w:val="center"/>
          </w:tcPr>
          <w:p w14:paraId="170B4D36" w14:textId="77777777" w:rsidR="00B20CE8" w:rsidRDefault="00B20CE8" w:rsidP="007463BB">
            <w:pPr>
              <w:jc w:val="center"/>
              <w:rPr>
                <w:rFonts w:ascii="Tahoma" w:hAnsi="Tahoma" w:cs="Tahoma"/>
                <w:sz w:val="20"/>
                <w:szCs w:val="20"/>
              </w:rPr>
            </w:pPr>
            <w:r>
              <w:rPr>
                <w:rFonts w:ascii="Tahoma" w:hAnsi="Tahoma" w:cs="Tahoma"/>
                <w:sz w:val="20"/>
                <w:szCs w:val="20"/>
              </w:rPr>
              <w:t>711 estudiantes</w:t>
            </w:r>
          </w:p>
          <w:p w14:paraId="279DDE78" w14:textId="77777777" w:rsidR="00B20CE8" w:rsidRPr="009873BB" w:rsidRDefault="00B20CE8" w:rsidP="007463BB">
            <w:pPr>
              <w:jc w:val="center"/>
              <w:rPr>
                <w:rFonts w:ascii="Tahoma" w:hAnsi="Tahoma" w:cs="Tahoma"/>
                <w:sz w:val="20"/>
                <w:szCs w:val="20"/>
              </w:rPr>
            </w:pPr>
            <w:r>
              <w:rPr>
                <w:rFonts w:ascii="Tahoma" w:hAnsi="Tahoma" w:cs="Tahoma"/>
                <w:sz w:val="20"/>
                <w:szCs w:val="20"/>
              </w:rPr>
              <w:t>Municipio de Durango</w:t>
            </w:r>
          </w:p>
        </w:tc>
        <w:tc>
          <w:tcPr>
            <w:tcW w:w="1985" w:type="dxa"/>
            <w:vAlign w:val="center"/>
          </w:tcPr>
          <w:p w14:paraId="6E6C70DE" w14:textId="77777777" w:rsidR="00B20CE8" w:rsidRPr="009873BB" w:rsidRDefault="00B20CE8" w:rsidP="007463BB">
            <w:pPr>
              <w:jc w:val="center"/>
              <w:rPr>
                <w:rFonts w:ascii="Tahoma" w:hAnsi="Tahoma" w:cs="Tahoma"/>
                <w:sz w:val="20"/>
                <w:szCs w:val="20"/>
              </w:rPr>
            </w:pPr>
            <w:r>
              <w:rPr>
                <w:rFonts w:ascii="Tahoma" w:hAnsi="Tahoma" w:cs="Tahoma"/>
                <w:sz w:val="20"/>
                <w:szCs w:val="20"/>
              </w:rPr>
              <w:t>9,312,970.00</w:t>
            </w:r>
          </w:p>
        </w:tc>
        <w:tc>
          <w:tcPr>
            <w:tcW w:w="1417" w:type="dxa"/>
            <w:vAlign w:val="center"/>
          </w:tcPr>
          <w:p w14:paraId="5132D53B" w14:textId="77777777" w:rsidR="00B20CE8" w:rsidRPr="009873BB" w:rsidRDefault="00B20CE8" w:rsidP="007463BB">
            <w:pPr>
              <w:jc w:val="center"/>
              <w:rPr>
                <w:rFonts w:ascii="Tahoma" w:hAnsi="Tahoma" w:cs="Tahoma"/>
                <w:sz w:val="20"/>
                <w:szCs w:val="20"/>
              </w:rPr>
            </w:pPr>
            <w:r>
              <w:rPr>
                <w:rFonts w:ascii="Tahoma" w:hAnsi="Tahoma" w:cs="Tahoma"/>
                <w:sz w:val="20"/>
                <w:szCs w:val="20"/>
              </w:rPr>
              <w:t>-</w:t>
            </w:r>
          </w:p>
        </w:tc>
        <w:tc>
          <w:tcPr>
            <w:tcW w:w="4253" w:type="dxa"/>
          </w:tcPr>
          <w:p w14:paraId="056CBA3B" w14:textId="77777777" w:rsidR="00F65D65" w:rsidRDefault="00F65D65" w:rsidP="007463BB">
            <w:pPr>
              <w:jc w:val="both"/>
            </w:pPr>
          </w:p>
          <w:p w14:paraId="262B1785" w14:textId="12634578" w:rsidR="00B20CE8" w:rsidRDefault="00B20CE8" w:rsidP="007463BB">
            <w:pPr>
              <w:jc w:val="both"/>
            </w:pPr>
            <w:r>
              <w:t>Desarrollar y actualizar el Programa General Docencia para una educación integral en la aplicación y evaluación de los planes y programas de estudio de las Licenciaturas en Educación Inicial, Preescolar, Primaria, Secundaria, Inclusión Educativa, así mismo desarrollar y actualizar el programa de seguimiento a la práctica profesional, considerando las nuevas exigencias de la educación en el siglo XXI, principalmente atendiendo a las condiciones de la escuela normal.</w:t>
            </w:r>
          </w:p>
          <w:p w14:paraId="5E32100C" w14:textId="77777777" w:rsidR="00B20CE8" w:rsidRDefault="00B20CE8" w:rsidP="007463BB">
            <w:pPr>
              <w:jc w:val="both"/>
            </w:pPr>
            <w:r>
              <w:t>Impulsar, promover y estimular la profesionalización, actualización, capacitación y certificación docente, a través del diseño y desarrollo del Programa de Habilitación Docente con el fin de mejorar los procesos de intervención en el aula, la asesoría académica, con una planta docente certificada que se refleje en el seguimiento de los trayectos formativos y el logro del perfil de egreso de los estudiantes.</w:t>
            </w:r>
          </w:p>
          <w:p w14:paraId="78113B27" w14:textId="77777777" w:rsidR="00B20CE8" w:rsidRDefault="00B20CE8" w:rsidP="007463BB">
            <w:pPr>
              <w:jc w:val="both"/>
            </w:pPr>
          </w:p>
          <w:p w14:paraId="3DFD7192" w14:textId="77777777" w:rsidR="00B20CE8" w:rsidRDefault="00B20CE8" w:rsidP="007463BB">
            <w:pPr>
              <w:jc w:val="both"/>
            </w:pPr>
          </w:p>
          <w:p w14:paraId="37EC5C3A" w14:textId="77777777" w:rsidR="00B20CE8" w:rsidRDefault="00B20CE8" w:rsidP="007463BB">
            <w:pPr>
              <w:jc w:val="both"/>
            </w:pPr>
          </w:p>
          <w:p w14:paraId="306C80EA" w14:textId="77777777" w:rsidR="00B20CE8" w:rsidRDefault="00B20CE8" w:rsidP="007463BB">
            <w:pPr>
              <w:jc w:val="both"/>
            </w:pPr>
          </w:p>
          <w:p w14:paraId="742D26F4" w14:textId="77777777" w:rsidR="00F65D65" w:rsidRDefault="00F65D65" w:rsidP="007463BB">
            <w:pPr>
              <w:jc w:val="both"/>
            </w:pPr>
          </w:p>
          <w:p w14:paraId="419E882E" w14:textId="7FDA48F0" w:rsidR="00B20CE8" w:rsidRDefault="00B20CE8" w:rsidP="007463BB">
            <w:pPr>
              <w:jc w:val="both"/>
            </w:pPr>
            <w:r>
              <w:t>Lograr una formación integral de los estudiantes por medio del desarrollo académico y socioemocional con acciones que parten de un diagnóstico oportuno, a través del programa de tutoría, para la prevención, atención y seguimiento, con la finalidad de evitar la deserción, mejorar el perfil de egreso y garantizar la eficiencia terminal.</w:t>
            </w:r>
          </w:p>
          <w:p w14:paraId="79DB3528" w14:textId="77777777" w:rsidR="00B20CE8" w:rsidRDefault="00B20CE8" w:rsidP="007463BB">
            <w:pPr>
              <w:jc w:val="both"/>
            </w:pPr>
            <w:r>
              <w:t>Implantar un sistema de Gestión de calidad bajo Normas ISO, para establecer las directrices que se han de cumplir para garantizar el logro de la Visión institucional y los objetivos estratégicos, para mantener la excelencia en los estándares de la formación de docente que exige la nueva Escuela Mexicana y la Nueva Escuela Normal, favoreciendo una organización eficiente orientado hacia la mejora continua, generando la normatividad institucional pertinente y necesaria.</w:t>
            </w:r>
          </w:p>
          <w:p w14:paraId="699347AC" w14:textId="77777777" w:rsidR="00B20CE8" w:rsidRDefault="00B20CE8" w:rsidP="007463BB">
            <w:pPr>
              <w:jc w:val="both"/>
            </w:pPr>
            <w:r>
              <w:t>Conocer los procesos de inserción laboral, las pautas de empleabilidad, el grado de ajuste entre las necesidades del mercado laboral y los contenidos curriculares, así como establecer convenios y acuerdos de colaboración con otras IES del estado, el país y el extranjero, que permita la movilidad y el intercambio, de docentes, directivos y estudiantes, con la finalidad de formar redes de colaboración.</w:t>
            </w:r>
          </w:p>
          <w:p w14:paraId="34F12750" w14:textId="77777777" w:rsidR="00B20CE8" w:rsidRDefault="00B20CE8" w:rsidP="007463BB">
            <w:pPr>
              <w:jc w:val="both"/>
            </w:pPr>
          </w:p>
          <w:p w14:paraId="52319356" w14:textId="77777777" w:rsidR="00B20CE8" w:rsidRPr="009873BB" w:rsidRDefault="00B20CE8" w:rsidP="007463BB">
            <w:pPr>
              <w:jc w:val="both"/>
              <w:rPr>
                <w:rFonts w:ascii="Tahoma" w:hAnsi="Tahoma" w:cs="Tahoma"/>
                <w:sz w:val="20"/>
                <w:szCs w:val="20"/>
              </w:rPr>
            </w:pPr>
            <w:r>
              <w:lastRenderedPageBreak/>
              <w:t>Promover la investigación y estimular la profesionalización, actualización y capacitación de profesionistas en el ámbito educativo con el fin de mejorar los procesos de intervención en el aula, la asesoría académica, la investigación, la generación y difusión del conocimiento; así como la formación de perfiles PRODEP y de cuerpos académicos.</w:t>
            </w:r>
          </w:p>
        </w:tc>
        <w:tc>
          <w:tcPr>
            <w:tcW w:w="1559" w:type="dxa"/>
            <w:vAlign w:val="center"/>
          </w:tcPr>
          <w:p w14:paraId="52EE1BC3" w14:textId="77777777" w:rsidR="00B20CE8" w:rsidRPr="009873BB" w:rsidRDefault="00B20CE8" w:rsidP="007463BB">
            <w:pPr>
              <w:jc w:val="center"/>
              <w:rPr>
                <w:rFonts w:ascii="Tahoma" w:hAnsi="Tahoma" w:cs="Tahoma"/>
                <w:sz w:val="20"/>
                <w:szCs w:val="20"/>
              </w:rPr>
            </w:pPr>
            <w:r>
              <w:rPr>
                <w:rFonts w:ascii="Tahoma" w:hAnsi="Tahoma" w:cs="Tahoma"/>
                <w:sz w:val="20"/>
                <w:szCs w:val="20"/>
              </w:rPr>
              <w:lastRenderedPageBreak/>
              <w:t>-</w:t>
            </w:r>
          </w:p>
        </w:tc>
      </w:tr>
      <w:tr w:rsidR="00B20CE8" w:rsidRPr="001E6E3E" w14:paraId="3F5E0496" w14:textId="77777777" w:rsidTr="00B20CE8">
        <w:trPr>
          <w:trHeight w:val="2570"/>
        </w:trPr>
        <w:tc>
          <w:tcPr>
            <w:tcW w:w="1698" w:type="dxa"/>
            <w:vAlign w:val="center"/>
          </w:tcPr>
          <w:p w14:paraId="47957880" w14:textId="77777777" w:rsidR="00B20CE8" w:rsidRPr="003952A6" w:rsidRDefault="00B20CE8" w:rsidP="007463BB">
            <w:pPr>
              <w:pStyle w:val="Default"/>
              <w:jc w:val="center"/>
              <w:rPr>
                <w:rFonts w:ascii="Tahoma" w:hAnsi="Tahoma" w:cs="Tahoma"/>
                <w:b/>
                <w:bCs/>
                <w:sz w:val="20"/>
                <w:szCs w:val="20"/>
              </w:rPr>
            </w:pPr>
            <w:r w:rsidRPr="003952A6">
              <w:rPr>
                <w:rFonts w:ascii="Tahoma" w:hAnsi="Tahoma" w:cs="Tahoma"/>
                <w:b/>
                <w:bCs/>
                <w:sz w:val="20"/>
                <w:szCs w:val="20"/>
              </w:rPr>
              <w:lastRenderedPageBreak/>
              <w:t>Escuela Normal “Profesor Carlos A. Carrillo”</w:t>
            </w:r>
          </w:p>
          <w:p w14:paraId="4C3C9181" w14:textId="77777777" w:rsidR="00B20CE8" w:rsidRPr="009873BB" w:rsidRDefault="00B20CE8" w:rsidP="007463BB">
            <w:pPr>
              <w:jc w:val="center"/>
              <w:rPr>
                <w:rFonts w:ascii="Tahoma" w:hAnsi="Tahoma" w:cs="Tahoma"/>
                <w:sz w:val="20"/>
                <w:szCs w:val="20"/>
              </w:rPr>
            </w:pPr>
          </w:p>
        </w:tc>
        <w:tc>
          <w:tcPr>
            <w:tcW w:w="1274" w:type="dxa"/>
            <w:vAlign w:val="center"/>
          </w:tcPr>
          <w:p w14:paraId="4AA6D4E2" w14:textId="77777777" w:rsidR="00B20CE8" w:rsidRPr="009873BB" w:rsidRDefault="00B20CE8" w:rsidP="007463BB">
            <w:pPr>
              <w:jc w:val="center"/>
              <w:rPr>
                <w:rFonts w:ascii="Tahoma" w:hAnsi="Tahoma" w:cs="Tahoma"/>
                <w:sz w:val="20"/>
                <w:szCs w:val="20"/>
              </w:rPr>
            </w:pPr>
            <w:r w:rsidRPr="009873BB">
              <w:rPr>
                <w:rFonts w:ascii="Tahoma" w:hAnsi="Tahoma" w:cs="Tahoma"/>
                <w:sz w:val="20"/>
                <w:szCs w:val="20"/>
              </w:rPr>
              <w:t>3</w:t>
            </w:r>
            <w:r>
              <w:rPr>
                <w:rFonts w:ascii="Tahoma" w:hAnsi="Tahoma" w:cs="Tahoma"/>
                <w:sz w:val="20"/>
                <w:szCs w:val="20"/>
              </w:rPr>
              <w:t>1</w:t>
            </w:r>
          </w:p>
          <w:p w14:paraId="7D41C5D4" w14:textId="77777777" w:rsidR="00B20CE8" w:rsidRPr="009873BB" w:rsidRDefault="00B20CE8" w:rsidP="007463BB">
            <w:pPr>
              <w:jc w:val="center"/>
              <w:rPr>
                <w:rFonts w:ascii="Tahoma" w:hAnsi="Tahoma" w:cs="Tahoma"/>
                <w:sz w:val="20"/>
                <w:szCs w:val="20"/>
              </w:rPr>
            </w:pPr>
          </w:p>
        </w:tc>
        <w:tc>
          <w:tcPr>
            <w:tcW w:w="1701" w:type="dxa"/>
            <w:vAlign w:val="center"/>
          </w:tcPr>
          <w:p w14:paraId="5F4F4D26" w14:textId="77777777" w:rsidR="00B20CE8" w:rsidRDefault="00B20CE8" w:rsidP="007463BB">
            <w:pPr>
              <w:jc w:val="center"/>
              <w:rPr>
                <w:rFonts w:ascii="Tahoma" w:hAnsi="Tahoma" w:cs="Tahoma"/>
                <w:sz w:val="20"/>
                <w:szCs w:val="20"/>
              </w:rPr>
            </w:pPr>
            <w:r>
              <w:rPr>
                <w:rFonts w:ascii="Tahoma" w:hAnsi="Tahoma" w:cs="Tahoma"/>
                <w:sz w:val="20"/>
                <w:szCs w:val="20"/>
              </w:rPr>
              <w:t>391 estudiantes</w:t>
            </w:r>
          </w:p>
          <w:p w14:paraId="004FA3D1" w14:textId="77777777" w:rsidR="00B20CE8" w:rsidRPr="009873BB" w:rsidRDefault="00B20CE8" w:rsidP="007463BB">
            <w:pPr>
              <w:jc w:val="center"/>
              <w:rPr>
                <w:rFonts w:ascii="Tahoma" w:hAnsi="Tahoma" w:cs="Tahoma"/>
                <w:sz w:val="20"/>
                <w:szCs w:val="20"/>
              </w:rPr>
            </w:pPr>
            <w:r>
              <w:rPr>
                <w:rFonts w:ascii="Tahoma" w:hAnsi="Tahoma" w:cs="Tahoma"/>
                <w:sz w:val="20"/>
                <w:szCs w:val="20"/>
              </w:rPr>
              <w:t>Municipio de El Oro, Durango.</w:t>
            </w:r>
          </w:p>
        </w:tc>
        <w:tc>
          <w:tcPr>
            <w:tcW w:w="1985" w:type="dxa"/>
            <w:vAlign w:val="center"/>
          </w:tcPr>
          <w:p w14:paraId="0A4C49D1" w14:textId="77777777" w:rsidR="00B20CE8" w:rsidRPr="009873BB" w:rsidRDefault="00B20CE8" w:rsidP="007463BB">
            <w:pPr>
              <w:jc w:val="center"/>
              <w:rPr>
                <w:rFonts w:ascii="Tahoma" w:hAnsi="Tahoma" w:cs="Tahoma"/>
                <w:sz w:val="20"/>
                <w:szCs w:val="20"/>
              </w:rPr>
            </w:pPr>
            <w:r>
              <w:rPr>
                <w:rFonts w:ascii="Tahoma" w:hAnsi="Tahoma" w:cs="Tahoma"/>
                <w:sz w:val="20"/>
                <w:szCs w:val="20"/>
              </w:rPr>
              <w:t>1,372,462.00</w:t>
            </w:r>
          </w:p>
        </w:tc>
        <w:tc>
          <w:tcPr>
            <w:tcW w:w="1417" w:type="dxa"/>
            <w:vAlign w:val="center"/>
          </w:tcPr>
          <w:p w14:paraId="2BB895F2" w14:textId="77777777" w:rsidR="00B20CE8" w:rsidRPr="009873BB" w:rsidRDefault="00B20CE8" w:rsidP="007463BB">
            <w:pPr>
              <w:jc w:val="center"/>
              <w:rPr>
                <w:rFonts w:ascii="Tahoma" w:hAnsi="Tahoma" w:cs="Tahoma"/>
                <w:sz w:val="20"/>
                <w:szCs w:val="20"/>
              </w:rPr>
            </w:pPr>
            <w:r>
              <w:rPr>
                <w:rFonts w:ascii="Tahoma" w:hAnsi="Tahoma" w:cs="Tahoma"/>
                <w:sz w:val="20"/>
                <w:szCs w:val="20"/>
              </w:rPr>
              <w:t>-</w:t>
            </w:r>
          </w:p>
        </w:tc>
        <w:tc>
          <w:tcPr>
            <w:tcW w:w="4253" w:type="dxa"/>
          </w:tcPr>
          <w:p w14:paraId="635D1D8C" w14:textId="77777777" w:rsidR="00B20CE8" w:rsidRDefault="00B20CE8" w:rsidP="007463BB">
            <w:pPr>
              <w:jc w:val="both"/>
            </w:pPr>
            <w:r>
              <w:t>Impulsar el vínculo entre la docencia y la investigación generando producción de conocimiento para apoyar la actividad académica de la EN, la consolidación de CA y perfiles PRODEP; contribuyendo a establecer redes y convenios de movilidad académica nacional e internacional con el fin de fortalecer el desarrollo de las competencias profesionales de docentes y estudiantes.</w:t>
            </w:r>
          </w:p>
          <w:p w14:paraId="0643811B" w14:textId="77777777" w:rsidR="00B20CE8" w:rsidRDefault="00B20CE8" w:rsidP="007463BB">
            <w:pPr>
              <w:jc w:val="both"/>
            </w:pPr>
            <w:r>
              <w:t>Impulsar la capacitación y habilitación docente, así como la certificación de docentes y alumnos en inglés y en TIC, con la finalidad de mejorar los perfiles docentes, acceder a programas de intercambio nacional e internacional y contribuir a la mejora del proceso educativo.</w:t>
            </w:r>
          </w:p>
          <w:p w14:paraId="66BCA08E" w14:textId="77777777" w:rsidR="00B20CE8" w:rsidRDefault="00B20CE8" w:rsidP="007463BB">
            <w:pPr>
              <w:jc w:val="both"/>
            </w:pPr>
            <w:r>
              <w:t>Participar en el proyecto estatal de seguimiento a egresados para valorar la calidad de la formación adquirida en la EN, con base a ello enriquecer los procesos educativos de la institución, así como generar información sobre la relación entre la formación de los egresados y su desempeño laboral.</w:t>
            </w:r>
          </w:p>
          <w:p w14:paraId="6D6846D1" w14:textId="77777777" w:rsidR="00B20CE8" w:rsidRDefault="00B20CE8" w:rsidP="007463BB">
            <w:pPr>
              <w:jc w:val="both"/>
            </w:pPr>
            <w:r>
              <w:lastRenderedPageBreak/>
              <w:t>Promover la cultura de la evaluación para mejorar la calidad educativa, los procesos y servicios escolares; así como participar en la estrategia nacional de lectura, para el fomento a la lectura, la escritura y la literacidad a partir de los tres ejes de intervención que se proponen: formativo, material y persuasivo; de igual manera, fomentar la cultura física y el deporte para mejorar el desarrollo personal y social de los estudiantes.</w:t>
            </w:r>
          </w:p>
          <w:p w14:paraId="5471BAF5" w14:textId="77777777" w:rsidR="00B20CE8" w:rsidRDefault="00B20CE8" w:rsidP="007463BB">
            <w:pPr>
              <w:jc w:val="both"/>
            </w:pPr>
            <w:r>
              <w:t xml:space="preserve">Eficientar la ejecución y seguimiento de programas y lineamientos para la atención a </w:t>
            </w:r>
          </w:p>
          <w:p w14:paraId="2A1E2CBC" w14:textId="77777777" w:rsidR="00B20CE8" w:rsidRDefault="00B20CE8" w:rsidP="007463BB">
            <w:pPr>
              <w:jc w:val="both"/>
            </w:pPr>
            <w:r>
              <w:t>estudiantes de nuevo ingreso y regulares, a saber: actividades de tutoría y asesoría, acompañamiento a la prácticas profesionales y titulación, promoción de la cultura física y el deporte y estrategia nacional de lectura.</w:t>
            </w:r>
          </w:p>
          <w:p w14:paraId="62A6F911" w14:textId="77777777" w:rsidR="00B20CE8" w:rsidRPr="009873BB" w:rsidRDefault="00B20CE8" w:rsidP="007463BB">
            <w:pPr>
              <w:jc w:val="both"/>
              <w:rPr>
                <w:rFonts w:ascii="Tahoma" w:hAnsi="Tahoma" w:cs="Tahoma"/>
                <w:sz w:val="20"/>
                <w:szCs w:val="20"/>
              </w:rPr>
            </w:pPr>
            <w:r>
              <w:t>Mejorar e incrementar la infraestructura física y tecnológica, para mejorar la aplicación de los PE vigentes y la formación integral de los estudiantes.</w:t>
            </w:r>
          </w:p>
        </w:tc>
        <w:tc>
          <w:tcPr>
            <w:tcW w:w="1559" w:type="dxa"/>
            <w:vAlign w:val="center"/>
          </w:tcPr>
          <w:p w14:paraId="3AADFA09" w14:textId="77777777" w:rsidR="00B20CE8" w:rsidRPr="009873BB" w:rsidRDefault="00B20CE8" w:rsidP="007463BB">
            <w:pPr>
              <w:jc w:val="center"/>
              <w:rPr>
                <w:rFonts w:ascii="Tahoma" w:hAnsi="Tahoma" w:cs="Tahoma"/>
                <w:sz w:val="20"/>
                <w:szCs w:val="20"/>
              </w:rPr>
            </w:pPr>
            <w:r>
              <w:rPr>
                <w:rFonts w:ascii="Tahoma" w:hAnsi="Tahoma" w:cs="Tahoma"/>
                <w:sz w:val="20"/>
                <w:szCs w:val="20"/>
              </w:rPr>
              <w:lastRenderedPageBreak/>
              <w:t>-</w:t>
            </w:r>
          </w:p>
        </w:tc>
      </w:tr>
      <w:tr w:rsidR="00B20CE8" w:rsidRPr="001E6E3E" w14:paraId="05DA76C6" w14:textId="77777777" w:rsidTr="00B20CE8">
        <w:trPr>
          <w:trHeight w:val="2853"/>
        </w:trPr>
        <w:tc>
          <w:tcPr>
            <w:tcW w:w="1698" w:type="dxa"/>
            <w:vAlign w:val="center"/>
          </w:tcPr>
          <w:p w14:paraId="14E2B5C0" w14:textId="77777777" w:rsidR="00B20CE8" w:rsidRPr="003952A6" w:rsidRDefault="00B20CE8" w:rsidP="007463BB">
            <w:pPr>
              <w:jc w:val="center"/>
              <w:rPr>
                <w:rFonts w:ascii="Tahoma" w:hAnsi="Tahoma" w:cs="Tahoma"/>
                <w:b/>
                <w:bCs/>
                <w:sz w:val="20"/>
                <w:szCs w:val="20"/>
              </w:rPr>
            </w:pPr>
            <w:r w:rsidRPr="003952A6">
              <w:rPr>
                <w:rFonts w:ascii="Tahoma" w:hAnsi="Tahoma" w:cs="Tahoma"/>
                <w:b/>
                <w:bCs/>
                <w:sz w:val="20"/>
                <w:szCs w:val="20"/>
              </w:rPr>
              <w:t>Instituto de Estudios Superiores de Educación Normal “Gral. Lázaro Cárdenas del Río”</w:t>
            </w:r>
          </w:p>
        </w:tc>
        <w:tc>
          <w:tcPr>
            <w:tcW w:w="1274" w:type="dxa"/>
            <w:vAlign w:val="center"/>
          </w:tcPr>
          <w:p w14:paraId="5863569F" w14:textId="77777777" w:rsidR="00B20CE8" w:rsidRPr="009873BB" w:rsidRDefault="00B20CE8" w:rsidP="007463BB">
            <w:pPr>
              <w:jc w:val="center"/>
              <w:rPr>
                <w:rFonts w:ascii="Tahoma" w:hAnsi="Tahoma" w:cs="Tahoma"/>
                <w:sz w:val="20"/>
                <w:szCs w:val="20"/>
              </w:rPr>
            </w:pPr>
            <w:r>
              <w:rPr>
                <w:rFonts w:ascii="Tahoma" w:hAnsi="Tahoma" w:cs="Tahoma"/>
                <w:sz w:val="20"/>
                <w:szCs w:val="20"/>
              </w:rPr>
              <w:t>67</w:t>
            </w:r>
          </w:p>
        </w:tc>
        <w:tc>
          <w:tcPr>
            <w:tcW w:w="1701" w:type="dxa"/>
            <w:vAlign w:val="center"/>
          </w:tcPr>
          <w:p w14:paraId="75FF03BA" w14:textId="77777777" w:rsidR="00B20CE8" w:rsidRDefault="00B20CE8" w:rsidP="007463BB">
            <w:pPr>
              <w:jc w:val="center"/>
              <w:rPr>
                <w:rFonts w:ascii="Tahoma" w:hAnsi="Tahoma" w:cs="Tahoma"/>
                <w:sz w:val="20"/>
                <w:szCs w:val="20"/>
              </w:rPr>
            </w:pPr>
            <w:r>
              <w:rPr>
                <w:rFonts w:ascii="Tahoma" w:hAnsi="Tahoma" w:cs="Tahoma"/>
                <w:sz w:val="20"/>
                <w:szCs w:val="20"/>
              </w:rPr>
              <w:t xml:space="preserve">968 estudiantes </w:t>
            </w:r>
          </w:p>
          <w:p w14:paraId="533EDAF9" w14:textId="77777777" w:rsidR="00B20CE8" w:rsidRPr="009873BB" w:rsidRDefault="00B20CE8" w:rsidP="007463BB">
            <w:pPr>
              <w:jc w:val="center"/>
              <w:rPr>
                <w:rFonts w:ascii="Tahoma" w:hAnsi="Tahoma" w:cs="Tahoma"/>
                <w:sz w:val="20"/>
                <w:szCs w:val="20"/>
              </w:rPr>
            </w:pPr>
            <w:r>
              <w:rPr>
                <w:rFonts w:ascii="Tahoma" w:hAnsi="Tahoma" w:cs="Tahoma"/>
                <w:sz w:val="20"/>
                <w:szCs w:val="20"/>
              </w:rPr>
              <w:t>Municipio de Lerdo, Durango.</w:t>
            </w:r>
          </w:p>
        </w:tc>
        <w:tc>
          <w:tcPr>
            <w:tcW w:w="1985" w:type="dxa"/>
            <w:vAlign w:val="center"/>
          </w:tcPr>
          <w:p w14:paraId="2D636B95" w14:textId="77777777" w:rsidR="00B20CE8" w:rsidRPr="009873BB" w:rsidRDefault="00B20CE8" w:rsidP="007463BB">
            <w:pPr>
              <w:jc w:val="center"/>
              <w:rPr>
                <w:rFonts w:ascii="Tahoma" w:hAnsi="Tahoma" w:cs="Tahoma"/>
                <w:sz w:val="20"/>
                <w:szCs w:val="20"/>
              </w:rPr>
            </w:pPr>
            <w:r>
              <w:rPr>
                <w:rFonts w:ascii="Tahoma" w:hAnsi="Tahoma" w:cs="Tahoma"/>
                <w:sz w:val="20"/>
                <w:szCs w:val="20"/>
              </w:rPr>
              <w:t>2,398,113.00</w:t>
            </w:r>
          </w:p>
        </w:tc>
        <w:tc>
          <w:tcPr>
            <w:tcW w:w="1417" w:type="dxa"/>
            <w:vAlign w:val="center"/>
          </w:tcPr>
          <w:p w14:paraId="5A2306E6" w14:textId="77777777" w:rsidR="00B20CE8" w:rsidRPr="009873BB" w:rsidRDefault="00B20CE8" w:rsidP="007463BB">
            <w:pPr>
              <w:jc w:val="center"/>
              <w:rPr>
                <w:rFonts w:ascii="Tahoma" w:hAnsi="Tahoma" w:cs="Tahoma"/>
                <w:sz w:val="20"/>
                <w:szCs w:val="20"/>
              </w:rPr>
            </w:pPr>
            <w:r>
              <w:rPr>
                <w:rFonts w:ascii="Tahoma" w:hAnsi="Tahoma" w:cs="Tahoma"/>
                <w:sz w:val="20"/>
                <w:szCs w:val="20"/>
              </w:rPr>
              <w:t>-</w:t>
            </w:r>
          </w:p>
        </w:tc>
        <w:tc>
          <w:tcPr>
            <w:tcW w:w="4253" w:type="dxa"/>
          </w:tcPr>
          <w:p w14:paraId="0CCC823F" w14:textId="77777777" w:rsidR="00B20CE8" w:rsidRDefault="00B20CE8" w:rsidP="007463BB">
            <w:pPr>
              <w:jc w:val="both"/>
            </w:pPr>
            <w:r>
              <w:t xml:space="preserve">Fortalecer los programas institucionales de apoyo a estudiantes durante el trayecto ingreso-egreso, a través de la tutoría, mentoría, asesoría, literacidad, vida saludable y seguimiento a egresados. </w:t>
            </w:r>
          </w:p>
          <w:p w14:paraId="7D184A51" w14:textId="77777777" w:rsidR="00F65D65" w:rsidRDefault="00B20CE8" w:rsidP="007463BB">
            <w:pPr>
              <w:jc w:val="both"/>
            </w:pPr>
            <w:r>
              <w:t xml:space="preserve">Robustecer los espacios de formación académica conjunta entre docentes de la EN y de EB, a fin de revitalizar el acompañamiento de las prácticas profesionales, la construcción de </w:t>
            </w:r>
          </w:p>
          <w:p w14:paraId="0A524D11" w14:textId="77777777" w:rsidR="00F65D65" w:rsidRDefault="00F65D65" w:rsidP="007463BB">
            <w:pPr>
              <w:jc w:val="both"/>
            </w:pPr>
          </w:p>
          <w:p w14:paraId="3ED2CD6C" w14:textId="77777777" w:rsidR="00F65D65" w:rsidRDefault="00F65D65" w:rsidP="007463BB">
            <w:pPr>
              <w:jc w:val="both"/>
            </w:pPr>
          </w:p>
          <w:p w14:paraId="1CAD5274" w14:textId="033C63F1" w:rsidR="00B20CE8" w:rsidRDefault="00B20CE8" w:rsidP="007463BB">
            <w:pPr>
              <w:jc w:val="both"/>
            </w:pPr>
            <w:r>
              <w:t>documentos de titulación y el diseño de espacios de capacitación para egresados.</w:t>
            </w:r>
          </w:p>
          <w:p w14:paraId="4040DC05" w14:textId="77777777" w:rsidR="00B20CE8" w:rsidRDefault="00B20CE8" w:rsidP="007463BB">
            <w:pPr>
              <w:jc w:val="both"/>
            </w:pPr>
            <w:r>
              <w:t>Favorecer la consolidación del binomio docente-alumno de la EN, a partir de la gestión de nuevas redes de colaboración y de movilidad académica con IES estatales, nacionales e internacionales, que promuevan la investigación-innovación, la productividad y divulgación científica de sus CC y CA a partir de sus LGAC.</w:t>
            </w:r>
          </w:p>
          <w:p w14:paraId="13458848" w14:textId="77777777" w:rsidR="00B20CE8" w:rsidRDefault="00B20CE8" w:rsidP="007463BB">
            <w:pPr>
              <w:jc w:val="both"/>
            </w:pPr>
            <w:r>
              <w:t>Consolidar la sistematización y automatización de procesos académicos y administrativos para el logro de la certificación en normas de calidad ISO 9001-2015 e ISO 21001:2018, como garantes de una cultura de la evaluación interna y externa que permita mayores niveles de excelencia en la oferta educativa.</w:t>
            </w:r>
          </w:p>
          <w:p w14:paraId="6D89EB2D" w14:textId="77777777" w:rsidR="00B20CE8" w:rsidRDefault="00B20CE8" w:rsidP="007463BB">
            <w:pPr>
              <w:jc w:val="both"/>
            </w:pPr>
            <w:r>
              <w:t>Impulsar la mejora continua de la comunidad normalista (alumnos, docentes, personal de apoyo y directivos) a través de procesos de habilitación, certificación, actualización y capacitación que redunden en el diseño y desarrollo creativo de prácticas docentes que hagan frente a los retos de las nuevas realidades educativas.</w:t>
            </w:r>
          </w:p>
          <w:p w14:paraId="5F0FFFF4" w14:textId="2B07A481" w:rsidR="00B20CE8" w:rsidRPr="009873BB" w:rsidRDefault="00B20CE8" w:rsidP="00F65D65">
            <w:pPr>
              <w:jc w:val="both"/>
              <w:rPr>
                <w:rFonts w:ascii="Tahoma" w:hAnsi="Tahoma" w:cs="Tahoma"/>
                <w:sz w:val="20"/>
                <w:szCs w:val="20"/>
              </w:rPr>
            </w:pPr>
            <w:r>
              <w:t>Solventar la demanda de espacios académicos acordes a la demanda de la educación superior, para garantizar la atención al tendiente crecimiento de la matrícula.</w:t>
            </w:r>
          </w:p>
        </w:tc>
        <w:tc>
          <w:tcPr>
            <w:tcW w:w="1559" w:type="dxa"/>
            <w:vAlign w:val="center"/>
          </w:tcPr>
          <w:p w14:paraId="03DB0EFB" w14:textId="77777777" w:rsidR="00B20CE8" w:rsidRPr="009873BB" w:rsidRDefault="00B20CE8" w:rsidP="007463BB">
            <w:pPr>
              <w:jc w:val="center"/>
              <w:rPr>
                <w:rFonts w:ascii="Tahoma" w:hAnsi="Tahoma" w:cs="Tahoma"/>
                <w:sz w:val="20"/>
                <w:szCs w:val="20"/>
              </w:rPr>
            </w:pPr>
            <w:r>
              <w:rPr>
                <w:rFonts w:ascii="Tahoma" w:hAnsi="Tahoma" w:cs="Tahoma"/>
                <w:sz w:val="20"/>
                <w:szCs w:val="20"/>
              </w:rPr>
              <w:lastRenderedPageBreak/>
              <w:t>-</w:t>
            </w:r>
          </w:p>
        </w:tc>
      </w:tr>
      <w:tr w:rsidR="00B20CE8" w:rsidRPr="001E6E3E" w14:paraId="7F9BEA38" w14:textId="77777777" w:rsidTr="00B20CE8">
        <w:trPr>
          <w:trHeight w:val="983"/>
        </w:trPr>
        <w:tc>
          <w:tcPr>
            <w:tcW w:w="1698" w:type="dxa"/>
            <w:vAlign w:val="center"/>
          </w:tcPr>
          <w:p w14:paraId="290B3743" w14:textId="77777777" w:rsidR="00B20CE8" w:rsidRPr="003952A6" w:rsidRDefault="00B20CE8" w:rsidP="007463BB">
            <w:pPr>
              <w:jc w:val="center"/>
              <w:rPr>
                <w:rFonts w:ascii="Tahoma" w:hAnsi="Tahoma" w:cs="Tahoma"/>
                <w:b/>
                <w:bCs/>
                <w:sz w:val="20"/>
                <w:szCs w:val="20"/>
              </w:rPr>
            </w:pPr>
            <w:r w:rsidRPr="003952A6">
              <w:rPr>
                <w:rFonts w:ascii="Tahoma" w:hAnsi="Tahoma" w:cs="Tahoma"/>
                <w:b/>
                <w:bCs/>
                <w:sz w:val="20"/>
                <w:szCs w:val="20"/>
              </w:rPr>
              <w:lastRenderedPageBreak/>
              <w:t>Centro de Actualización de Magisterio</w:t>
            </w:r>
          </w:p>
        </w:tc>
        <w:tc>
          <w:tcPr>
            <w:tcW w:w="1274" w:type="dxa"/>
            <w:vAlign w:val="center"/>
          </w:tcPr>
          <w:p w14:paraId="2E53DB0F" w14:textId="77777777" w:rsidR="00B20CE8" w:rsidRPr="009873BB" w:rsidRDefault="00B20CE8" w:rsidP="007463BB">
            <w:pPr>
              <w:jc w:val="center"/>
              <w:rPr>
                <w:rFonts w:ascii="Tahoma" w:hAnsi="Tahoma" w:cs="Tahoma"/>
                <w:sz w:val="20"/>
                <w:szCs w:val="20"/>
              </w:rPr>
            </w:pPr>
            <w:r w:rsidRPr="009873BB">
              <w:rPr>
                <w:rFonts w:ascii="Tahoma" w:hAnsi="Tahoma" w:cs="Tahoma"/>
                <w:sz w:val="20"/>
                <w:szCs w:val="20"/>
              </w:rPr>
              <w:t>3</w:t>
            </w:r>
            <w:r>
              <w:rPr>
                <w:rFonts w:ascii="Tahoma" w:hAnsi="Tahoma" w:cs="Tahoma"/>
                <w:sz w:val="20"/>
                <w:szCs w:val="20"/>
              </w:rPr>
              <w:t>2</w:t>
            </w:r>
          </w:p>
        </w:tc>
        <w:tc>
          <w:tcPr>
            <w:tcW w:w="1701" w:type="dxa"/>
            <w:vAlign w:val="center"/>
          </w:tcPr>
          <w:p w14:paraId="6207A07E" w14:textId="77777777" w:rsidR="00B20CE8" w:rsidRDefault="00B20CE8" w:rsidP="007463BB">
            <w:pPr>
              <w:jc w:val="center"/>
              <w:rPr>
                <w:rFonts w:ascii="Tahoma" w:hAnsi="Tahoma" w:cs="Tahoma"/>
                <w:sz w:val="20"/>
                <w:szCs w:val="20"/>
              </w:rPr>
            </w:pPr>
            <w:r>
              <w:rPr>
                <w:rFonts w:ascii="Tahoma" w:hAnsi="Tahoma" w:cs="Tahoma"/>
                <w:sz w:val="20"/>
                <w:szCs w:val="20"/>
              </w:rPr>
              <w:t>265 estudiantes</w:t>
            </w:r>
          </w:p>
          <w:p w14:paraId="59A4FE01" w14:textId="77777777" w:rsidR="00B20CE8" w:rsidRPr="009873BB" w:rsidRDefault="00B20CE8" w:rsidP="007463BB">
            <w:pPr>
              <w:jc w:val="center"/>
              <w:rPr>
                <w:rFonts w:ascii="Tahoma" w:hAnsi="Tahoma" w:cs="Tahoma"/>
                <w:sz w:val="20"/>
                <w:szCs w:val="20"/>
              </w:rPr>
            </w:pPr>
            <w:r>
              <w:rPr>
                <w:rFonts w:ascii="Tahoma" w:hAnsi="Tahoma" w:cs="Tahoma"/>
                <w:sz w:val="20"/>
                <w:szCs w:val="20"/>
              </w:rPr>
              <w:t>Municipio de Durango, Dgo.</w:t>
            </w:r>
          </w:p>
        </w:tc>
        <w:tc>
          <w:tcPr>
            <w:tcW w:w="1985" w:type="dxa"/>
            <w:vAlign w:val="center"/>
          </w:tcPr>
          <w:p w14:paraId="29B14C59" w14:textId="77777777" w:rsidR="00B20CE8" w:rsidRPr="009873BB" w:rsidRDefault="00B20CE8" w:rsidP="007463BB">
            <w:pPr>
              <w:jc w:val="center"/>
              <w:rPr>
                <w:rFonts w:ascii="Tahoma" w:hAnsi="Tahoma" w:cs="Tahoma"/>
                <w:sz w:val="20"/>
                <w:szCs w:val="20"/>
              </w:rPr>
            </w:pPr>
            <w:r>
              <w:rPr>
                <w:rFonts w:ascii="Tahoma" w:hAnsi="Tahoma" w:cs="Tahoma"/>
                <w:sz w:val="20"/>
                <w:szCs w:val="20"/>
              </w:rPr>
              <w:t>3,149,561.00</w:t>
            </w:r>
          </w:p>
        </w:tc>
        <w:tc>
          <w:tcPr>
            <w:tcW w:w="1417" w:type="dxa"/>
            <w:vAlign w:val="center"/>
          </w:tcPr>
          <w:p w14:paraId="11CABFF6" w14:textId="77777777" w:rsidR="00B20CE8" w:rsidRPr="009873BB" w:rsidRDefault="00B20CE8" w:rsidP="007463BB">
            <w:pPr>
              <w:jc w:val="center"/>
              <w:rPr>
                <w:rFonts w:ascii="Tahoma" w:hAnsi="Tahoma" w:cs="Tahoma"/>
                <w:sz w:val="20"/>
                <w:szCs w:val="20"/>
              </w:rPr>
            </w:pPr>
            <w:r>
              <w:rPr>
                <w:rFonts w:ascii="Tahoma" w:hAnsi="Tahoma" w:cs="Tahoma"/>
                <w:sz w:val="20"/>
                <w:szCs w:val="20"/>
              </w:rPr>
              <w:t>-</w:t>
            </w:r>
          </w:p>
        </w:tc>
        <w:tc>
          <w:tcPr>
            <w:tcW w:w="4253" w:type="dxa"/>
          </w:tcPr>
          <w:p w14:paraId="363062C0" w14:textId="77777777" w:rsidR="00F65D65" w:rsidRDefault="00F65D65" w:rsidP="007463BB">
            <w:pPr>
              <w:jc w:val="both"/>
            </w:pPr>
          </w:p>
          <w:p w14:paraId="2A32FABD" w14:textId="16660C65" w:rsidR="00B20CE8" w:rsidRDefault="00B20CE8" w:rsidP="007463BB">
            <w:pPr>
              <w:jc w:val="both"/>
            </w:pPr>
            <w:r>
              <w:t>Contribuir a la formación y fortalecimiento de Perfiles deseables PRODEP y CA por medio de procesos de habilitación, actualización y movilidad de docentes del Centro de Actualización del Magisterio (CAM, así como la difusión de la producción académica).</w:t>
            </w:r>
          </w:p>
          <w:p w14:paraId="00C9EB3F" w14:textId="77777777" w:rsidR="00B20CE8" w:rsidRDefault="00B20CE8" w:rsidP="007463BB">
            <w:pPr>
              <w:jc w:val="both"/>
            </w:pPr>
            <w:r>
              <w:t>Impulsar programas de apoyo y seguimiento a la formación profesional de los estudiantes mediante la observación de su práctica, el acompañamiento con tutores, estrategias de movilidad y seguimiento a egresados.</w:t>
            </w:r>
          </w:p>
          <w:p w14:paraId="5D528768" w14:textId="77777777" w:rsidR="00B20CE8" w:rsidRDefault="00B20CE8" w:rsidP="007463BB">
            <w:pPr>
              <w:jc w:val="both"/>
            </w:pPr>
            <w:r>
              <w:t>Ofrecer una formación integral en los estudiantes, impulsando su participación en actividades culturales y deportivas que apoyen al desarrollo de competencias multidisciplinarias que complementen al perfil de egreso.</w:t>
            </w:r>
          </w:p>
          <w:p w14:paraId="4221917A" w14:textId="77777777" w:rsidR="00B20CE8" w:rsidRDefault="00B20CE8" w:rsidP="007463BB">
            <w:pPr>
              <w:jc w:val="both"/>
            </w:pPr>
            <w:r>
              <w:t>Capacitación y habilitación docente relacionado con la actualización y mejora continua, fortaleciendo en específico el empleo de estrategias, recursos didácticos y de evaluación tecnológica innovadoras.</w:t>
            </w:r>
          </w:p>
          <w:p w14:paraId="1CD6BB75" w14:textId="77777777" w:rsidR="00B20CE8" w:rsidRDefault="00B20CE8" w:rsidP="007463BB">
            <w:pPr>
              <w:jc w:val="both"/>
            </w:pPr>
            <w:r>
              <w:t>Establecer un programa de promoción y de la oferta educativa del Centro que permita mantener y elevar la matrícula en los programas ofertados, así como la difusión de las actividades realizadas en el Centro.</w:t>
            </w:r>
          </w:p>
          <w:p w14:paraId="1BE27932" w14:textId="77777777" w:rsidR="00B20CE8" w:rsidRDefault="00B20CE8" w:rsidP="007463BB">
            <w:pPr>
              <w:jc w:val="both"/>
            </w:pPr>
          </w:p>
          <w:p w14:paraId="50F56718" w14:textId="77777777" w:rsidR="00B20CE8" w:rsidRDefault="00B20CE8" w:rsidP="007463BB">
            <w:pPr>
              <w:jc w:val="both"/>
            </w:pPr>
          </w:p>
          <w:p w14:paraId="771F8FDC" w14:textId="77777777" w:rsidR="00B20CE8" w:rsidRDefault="00B20CE8" w:rsidP="007463BB">
            <w:pPr>
              <w:jc w:val="both"/>
            </w:pPr>
          </w:p>
          <w:p w14:paraId="74E22B93" w14:textId="77777777" w:rsidR="00B20CE8" w:rsidRPr="009873BB" w:rsidRDefault="00B20CE8" w:rsidP="007463BB">
            <w:pPr>
              <w:jc w:val="both"/>
              <w:rPr>
                <w:rFonts w:ascii="Tahoma" w:hAnsi="Tahoma" w:cs="Tahoma"/>
                <w:sz w:val="20"/>
                <w:szCs w:val="20"/>
              </w:rPr>
            </w:pPr>
            <w:r>
              <w:lastRenderedPageBreak/>
              <w:t>Fortalecer la infraestructura física y tecnológica del Centro, además del equipamiento del mismo.</w:t>
            </w:r>
          </w:p>
        </w:tc>
        <w:tc>
          <w:tcPr>
            <w:tcW w:w="1559" w:type="dxa"/>
            <w:vAlign w:val="center"/>
          </w:tcPr>
          <w:p w14:paraId="23AEAFD3" w14:textId="77777777" w:rsidR="00B20CE8" w:rsidRPr="009873BB" w:rsidRDefault="00B20CE8" w:rsidP="007463BB">
            <w:pPr>
              <w:jc w:val="center"/>
              <w:rPr>
                <w:rFonts w:ascii="Tahoma" w:hAnsi="Tahoma" w:cs="Tahoma"/>
                <w:sz w:val="20"/>
                <w:szCs w:val="20"/>
              </w:rPr>
            </w:pPr>
            <w:r>
              <w:rPr>
                <w:rFonts w:ascii="Tahoma" w:hAnsi="Tahoma" w:cs="Tahoma"/>
                <w:sz w:val="20"/>
                <w:szCs w:val="20"/>
              </w:rPr>
              <w:lastRenderedPageBreak/>
              <w:t>-</w:t>
            </w:r>
          </w:p>
        </w:tc>
      </w:tr>
    </w:tbl>
    <w:p w14:paraId="1B756BDE" w14:textId="77777777" w:rsidR="00B20CE8" w:rsidRDefault="00B20CE8" w:rsidP="00B20CE8">
      <w:pPr>
        <w:jc w:val="center"/>
      </w:pPr>
    </w:p>
    <w:p w14:paraId="76AFE63F" w14:textId="77777777" w:rsidR="00B20CE8" w:rsidRDefault="00B20CE8" w:rsidP="00B20CE8">
      <w:pPr>
        <w:jc w:val="center"/>
      </w:pPr>
    </w:p>
    <w:p w14:paraId="6E7F402C" w14:textId="77777777" w:rsidR="00B20CE8" w:rsidRDefault="00B20CE8" w:rsidP="00B20CE8">
      <w:pPr>
        <w:jc w:val="center"/>
      </w:pPr>
    </w:p>
    <w:p w14:paraId="49DDC9F2" w14:textId="6D2DE1A4" w:rsidR="00B20CE8" w:rsidRPr="000E41A1" w:rsidRDefault="00B20CE8" w:rsidP="00B20CE8">
      <w:pPr>
        <w:jc w:val="center"/>
        <w:rPr>
          <w:b/>
          <w:bCs/>
        </w:rPr>
      </w:pPr>
      <w:r w:rsidRPr="000E41A1">
        <w:rPr>
          <w:b/>
          <w:bCs/>
        </w:rPr>
        <w:t>ATENTAMENTE</w:t>
      </w:r>
    </w:p>
    <w:p w14:paraId="65B88AC6" w14:textId="77777777" w:rsidR="00B20CE8" w:rsidRPr="000E41A1" w:rsidRDefault="00B20CE8" w:rsidP="00B20CE8">
      <w:pPr>
        <w:jc w:val="center"/>
        <w:rPr>
          <w:b/>
          <w:bCs/>
        </w:rPr>
      </w:pPr>
      <w:r w:rsidRPr="000E41A1">
        <w:rPr>
          <w:b/>
          <w:bCs/>
        </w:rPr>
        <w:t xml:space="preserve">Victoria de Durango, Dgo., </w:t>
      </w:r>
      <w:r>
        <w:rPr>
          <w:b/>
          <w:bCs/>
        </w:rPr>
        <w:t xml:space="preserve">19 de junio </w:t>
      </w:r>
      <w:r w:rsidRPr="000E41A1">
        <w:rPr>
          <w:b/>
          <w:bCs/>
        </w:rPr>
        <w:t>de 2023.</w:t>
      </w:r>
    </w:p>
    <w:p w14:paraId="73B0AE83" w14:textId="77777777" w:rsidR="00B20CE8" w:rsidRPr="000E41A1" w:rsidRDefault="00B20CE8" w:rsidP="00B20CE8">
      <w:pPr>
        <w:spacing w:after="0" w:line="240" w:lineRule="auto"/>
        <w:jc w:val="center"/>
        <w:rPr>
          <w:b/>
          <w:bCs/>
        </w:rPr>
      </w:pPr>
    </w:p>
    <w:p w14:paraId="5C23CD9A" w14:textId="77777777" w:rsidR="00B20CE8" w:rsidRPr="000E41A1" w:rsidRDefault="00B20CE8" w:rsidP="00B20CE8">
      <w:pPr>
        <w:spacing w:after="0" w:line="240" w:lineRule="auto"/>
        <w:jc w:val="center"/>
        <w:rPr>
          <w:b/>
          <w:bCs/>
        </w:rPr>
      </w:pPr>
    </w:p>
    <w:p w14:paraId="64936A14" w14:textId="4414767C" w:rsidR="00B20CE8" w:rsidRPr="000E41A1" w:rsidRDefault="00B20CE8" w:rsidP="00B20CE8">
      <w:pPr>
        <w:spacing w:after="0" w:line="240" w:lineRule="auto"/>
        <w:jc w:val="center"/>
        <w:rPr>
          <w:b/>
          <w:bCs/>
        </w:rPr>
      </w:pPr>
      <w:r w:rsidRPr="000E41A1">
        <w:rPr>
          <w:b/>
          <w:bCs/>
        </w:rPr>
        <w:t xml:space="preserve">DR. MIGUEL </w:t>
      </w:r>
      <w:r w:rsidR="00A97520">
        <w:rPr>
          <w:b/>
          <w:bCs/>
        </w:rPr>
        <w:t>Á</w:t>
      </w:r>
      <w:r w:rsidRPr="000E41A1">
        <w:rPr>
          <w:b/>
          <w:bCs/>
        </w:rPr>
        <w:t>NGEL ESTRADA GÓMEZ</w:t>
      </w:r>
    </w:p>
    <w:p w14:paraId="06597901" w14:textId="18612614" w:rsidR="00B20CE8" w:rsidRPr="000E41A1" w:rsidRDefault="00B20CE8" w:rsidP="00B20CE8">
      <w:pPr>
        <w:spacing w:after="0" w:line="240" w:lineRule="auto"/>
        <w:jc w:val="center"/>
        <w:rPr>
          <w:b/>
          <w:bCs/>
        </w:rPr>
      </w:pPr>
      <w:r w:rsidRPr="000E41A1">
        <w:rPr>
          <w:b/>
          <w:bCs/>
        </w:rPr>
        <w:t>COORDINADOR</w:t>
      </w:r>
      <w:r w:rsidR="00A97520">
        <w:rPr>
          <w:b/>
          <w:bCs/>
        </w:rPr>
        <w:t xml:space="preserve"> DE INSTITUCIONES FORMADORAS DE DOCENTES</w:t>
      </w:r>
    </w:p>
    <w:p w14:paraId="3183D8E1" w14:textId="77777777" w:rsidR="00B20CE8" w:rsidRPr="000E41A1" w:rsidRDefault="00B20CE8" w:rsidP="00B20CE8">
      <w:pPr>
        <w:rPr>
          <w:b/>
          <w:bCs/>
        </w:rPr>
      </w:pPr>
    </w:p>
    <w:p w14:paraId="2C9CE30E" w14:textId="77777777" w:rsidR="00FE4551" w:rsidRDefault="00FE4551" w:rsidP="00FE4551">
      <w:pPr>
        <w:pStyle w:val="NormalWeb"/>
        <w:jc w:val="center"/>
        <w:rPr>
          <w:rFonts w:ascii="Tahoma" w:hAnsi="Tahoma" w:cs="Tahoma"/>
          <w:b/>
          <w:color w:val="000000"/>
        </w:rPr>
      </w:pPr>
    </w:p>
    <w:sectPr w:rsidR="00FE4551" w:rsidSect="00A269FA">
      <w:headerReference w:type="default" r:id="rId7"/>
      <w:footerReference w:type="default" r:id="rId8"/>
      <w:headerReference w:type="first" r:id="rId9"/>
      <w:footerReference w:type="first" r:id="rId10"/>
      <w:pgSz w:w="15840" w:h="12240" w:orient="landscape"/>
      <w:pgMar w:top="176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828F" w14:textId="77777777" w:rsidR="000741F2" w:rsidRDefault="000741F2" w:rsidP="00190E5F">
      <w:pPr>
        <w:spacing w:after="0" w:line="240" w:lineRule="auto"/>
      </w:pPr>
      <w:r>
        <w:separator/>
      </w:r>
    </w:p>
  </w:endnote>
  <w:endnote w:type="continuationSeparator" w:id="0">
    <w:p w14:paraId="74C4D503" w14:textId="77777777" w:rsidR="000741F2" w:rsidRDefault="000741F2" w:rsidP="0019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CC1B" w14:textId="41F4E5B1" w:rsidR="00190E5F" w:rsidRDefault="00A269FA">
    <w:pPr>
      <w:pStyle w:val="Piedepgina"/>
    </w:pPr>
    <w:r w:rsidRPr="00A269FA">
      <w:rPr>
        <w:rFonts w:ascii="Calibri" w:eastAsia="Calibri" w:hAnsi="Calibri" w:cs="Times New Roman"/>
        <w:noProof/>
      </w:rPr>
      <w:drawing>
        <wp:anchor distT="0" distB="0" distL="114300" distR="114300" simplePos="0" relativeHeight="251667456" behindDoc="1" locked="0" layoutInCell="1" allowOverlap="1" wp14:anchorId="5A3CA028" wp14:editId="103D4B61">
          <wp:simplePos x="0" y="0"/>
          <wp:positionH relativeFrom="margin">
            <wp:posOffset>-358140</wp:posOffset>
          </wp:positionH>
          <wp:positionV relativeFrom="paragraph">
            <wp:posOffset>-285115</wp:posOffset>
          </wp:positionV>
          <wp:extent cx="9439275" cy="1059180"/>
          <wp:effectExtent l="0" t="0" r="9525" b="762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embretada oficial 2023 (COORD DE INST FORM DOCENTES).jpg"/>
                  <pic:cNvPicPr/>
                </pic:nvPicPr>
                <pic:blipFill rotWithShape="1">
                  <a:blip r:embed="rId1">
                    <a:extLst>
                      <a:ext uri="{28A0092B-C50C-407E-A947-70E740481C1C}">
                        <a14:useLocalDpi xmlns:a14="http://schemas.microsoft.com/office/drawing/2010/main" val="0"/>
                      </a:ext>
                    </a:extLst>
                  </a:blip>
                  <a:srcRect t="84249" b="981"/>
                  <a:stretch/>
                </pic:blipFill>
                <pic:spPr bwMode="auto">
                  <a:xfrm>
                    <a:off x="0" y="0"/>
                    <a:ext cx="9439275" cy="1059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5DDBE3" w14:textId="7B27D3CA" w:rsidR="00190E5F" w:rsidRDefault="000B684F" w:rsidP="000B684F">
    <w:pPr>
      <w:pStyle w:val="Piedepgina"/>
      <w:tabs>
        <w:tab w:val="clear" w:pos="4419"/>
        <w:tab w:val="clear" w:pos="8838"/>
        <w:tab w:val="left" w:pos="1171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CCCD" w14:textId="4AE73D6B" w:rsidR="00E90A6F" w:rsidRDefault="00316710">
    <w:pPr>
      <w:pStyle w:val="Piedepgina"/>
      <w:rPr>
        <w:noProof/>
        <w:lang w:eastAsia="es-MX"/>
      </w:rPr>
    </w:pPr>
    <w:r>
      <w:rPr>
        <w:noProof/>
      </w:rPr>
      <w:drawing>
        <wp:anchor distT="0" distB="0" distL="114300" distR="114300" simplePos="0" relativeHeight="251661312" behindDoc="1" locked="0" layoutInCell="1" allowOverlap="1" wp14:anchorId="5C0142FF" wp14:editId="43EEB53D">
          <wp:simplePos x="0" y="0"/>
          <wp:positionH relativeFrom="page">
            <wp:posOffset>529590</wp:posOffset>
          </wp:positionH>
          <wp:positionV relativeFrom="paragraph">
            <wp:posOffset>-116205</wp:posOffset>
          </wp:positionV>
          <wp:extent cx="9144000" cy="1062355"/>
          <wp:effectExtent l="0" t="0" r="0" b="444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embretada oficial 2023 (COORD DE INST FORM DOCENTES).jpg"/>
                  <pic:cNvPicPr/>
                </pic:nvPicPr>
                <pic:blipFill rotWithShape="1">
                  <a:blip r:embed="rId1">
                    <a:extLst>
                      <a:ext uri="{28A0092B-C50C-407E-A947-70E740481C1C}">
                        <a14:useLocalDpi xmlns:a14="http://schemas.microsoft.com/office/drawing/2010/main" val="0"/>
                      </a:ext>
                    </a:extLst>
                  </a:blip>
                  <a:srcRect t="84249" b="981"/>
                  <a:stretch/>
                </pic:blipFill>
                <pic:spPr bwMode="auto">
                  <a:xfrm>
                    <a:off x="0" y="0"/>
                    <a:ext cx="9144000" cy="1062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47E8A6" w14:textId="198EB10F" w:rsidR="00E90A6F" w:rsidRDefault="00E90A6F">
    <w:pPr>
      <w:pStyle w:val="Piedepgina"/>
      <w:rPr>
        <w:noProof/>
        <w:lang w:eastAsia="es-MX"/>
      </w:rPr>
    </w:pPr>
  </w:p>
  <w:p w14:paraId="4BD84F1E" w14:textId="4C5DF0AF" w:rsidR="000B684F" w:rsidRDefault="000B68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C6B1" w14:textId="77777777" w:rsidR="000741F2" w:rsidRDefault="000741F2" w:rsidP="00190E5F">
      <w:pPr>
        <w:spacing w:after="0" w:line="240" w:lineRule="auto"/>
      </w:pPr>
      <w:r>
        <w:separator/>
      </w:r>
    </w:p>
  </w:footnote>
  <w:footnote w:type="continuationSeparator" w:id="0">
    <w:p w14:paraId="4D489E3A" w14:textId="77777777" w:rsidR="000741F2" w:rsidRDefault="000741F2" w:rsidP="0019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E3D7" w14:textId="39BDF130" w:rsidR="00190E5F" w:rsidRDefault="00316710">
    <w:pPr>
      <w:pStyle w:val="Encabezado"/>
    </w:pPr>
    <w:r>
      <w:rPr>
        <w:noProof/>
      </w:rPr>
      <w:drawing>
        <wp:anchor distT="0" distB="0" distL="114300" distR="114300" simplePos="0" relativeHeight="251665408" behindDoc="1" locked="0" layoutInCell="1" allowOverlap="1" wp14:anchorId="32E37BE1" wp14:editId="2854820D">
          <wp:simplePos x="0" y="0"/>
          <wp:positionH relativeFrom="page">
            <wp:posOffset>152400</wp:posOffset>
          </wp:positionH>
          <wp:positionV relativeFrom="paragraph">
            <wp:posOffset>-335915</wp:posOffset>
          </wp:positionV>
          <wp:extent cx="9667875" cy="1018646"/>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embretada oficial 2023 (COORD DE INST FORM DOCENTES).jpg"/>
                  <pic:cNvPicPr/>
                </pic:nvPicPr>
                <pic:blipFill rotWithShape="1">
                  <a:blip r:embed="rId1">
                    <a:extLst>
                      <a:ext uri="{28A0092B-C50C-407E-A947-70E740481C1C}">
                        <a14:useLocalDpi xmlns:a14="http://schemas.microsoft.com/office/drawing/2010/main" val="0"/>
                      </a:ext>
                    </a:extLst>
                  </a:blip>
                  <a:srcRect b="86201"/>
                  <a:stretch/>
                </pic:blipFill>
                <pic:spPr bwMode="auto">
                  <a:xfrm>
                    <a:off x="0" y="0"/>
                    <a:ext cx="9667875" cy="10186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396CB2" w14:textId="4C26A8F4" w:rsidR="00190E5F" w:rsidRDefault="00190E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F18B" w14:textId="49515287" w:rsidR="00E90A6F" w:rsidRDefault="00316710" w:rsidP="00316710">
    <w:pPr>
      <w:pStyle w:val="Encabezado"/>
      <w:tabs>
        <w:tab w:val="clear" w:pos="4419"/>
        <w:tab w:val="clear" w:pos="8838"/>
        <w:tab w:val="left" w:pos="3525"/>
      </w:tabs>
      <w:rPr>
        <w:noProof/>
        <w:lang w:eastAsia="es-MX"/>
      </w:rPr>
    </w:pPr>
    <w:r w:rsidRPr="00316710">
      <w:rPr>
        <w:rFonts w:ascii="Calibri" w:eastAsia="Calibri" w:hAnsi="Calibri" w:cs="Times New Roman"/>
        <w:noProof/>
      </w:rPr>
      <w:drawing>
        <wp:anchor distT="0" distB="0" distL="114300" distR="114300" simplePos="0" relativeHeight="251663360" behindDoc="1" locked="0" layoutInCell="1" allowOverlap="1" wp14:anchorId="636E23FF" wp14:editId="7DA4C202">
          <wp:simplePos x="0" y="0"/>
          <wp:positionH relativeFrom="page">
            <wp:posOffset>196215</wp:posOffset>
          </wp:positionH>
          <wp:positionV relativeFrom="paragraph">
            <wp:posOffset>-419735</wp:posOffset>
          </wp:positionV>
          <wp:extent cx="10039350" cy="1560830"/>
          <wp:effectExtent l="0" t="0" r="0"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embretada oficial 2023 (COORD DE INST FORM DOCENTES).jpg"/>
                  <pic:cNvPicPr/>
                </pic:nvPicPr>
                <pic:blipFill rotWithShape="1">
                  <a:blip r:embed="rId1">
                    <a:extLst>
                      <a:ext uri="{28A0092B-C50C-407E-A947-70E740481C1C}">
                        <a14:useLocalDpi xmlns:a14="http://schemas.microsoft.com/office/drawing/2010/main" val="0"/>
                      </a:ext>
                    </a:extLst>
                  </a:blip>
                  <a:srcRect b="86201"/>
                  <a:stretch/>
                </pic:blipFill>
                <pic:spPr bwMode="auto">
                  <a:xfrm>
                    <a:off x="0" y="0"/>
                    <a:ext cx="10039350" cy="1560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tab/>
    </w:r>
  </w:p>
  <w:p w14:paraId="5E14ED50" w14:textId="7CFFD305" w:rsidR="00190E5F" w:rsidRDefault="00190E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51"/>
    <w:rsid w:val="0003104E"/>
    <w:rsid w:val="0005559C"/>
    <w:rsid w:val="000564A6"/>
    <w:rsid w:val="00057028"/>
    <w:rsid w:val="00057FDD"/>
    <w:rsid w:val="000741F2"/>
    <w:rsid w:val="000B684F"/>
    <w:rsid w:val="000E4170"/>
    <w:rsid w:val="000E41A1"/>
    <w:rsid w:val="00120B67"/>
    <w:rsid w:val="00146F2B"/>
    <w:rsid w:val="001513D8"/>
    <w:rsid w:val="00153624"/>
    <w:rsid w:val="001536D1"/>
    <w:rsid w:val="00190E5F"/>
    <w:rsid w:val="001B03C2"/>
    <w:rsid w:val="001B0510"/>
    <w:rsid w:val="001B0AFE"/>
    <w:rsid w:val="00204AD6"/>
    <w:rsid w:val="00270892"/>
    <w:rsid w:val="00282718"/>
    <w:rsid w:val="00285030"/>
    <w:rsid w:val="002F4BEB"/>
    <w:rsid w:val="00313D72"/>
    <w:rsid w:val="00316710"/>
    <w:rsid w:val="00327458"/>
    <w:rsid w:val="00342EE8"/>
    <w:rsid w:val="00371D75"/>
    <w:rsid w:val="003952A6"/>
    <w:rsid w:val="003A69B4"/>
    <w:rsid w:val="003B4E81"/>
    <w:rsid w:val="00400ECF"/>
    <w:rsid w:val="00445C34"/>
    <w:rsid w:val="00445DD1"/>
    <w:rsid w:val="004540B8"/>
    <w:rsid w:val="00470483"/>
    <w:rsid w:val="00484E4E"/>
    <w:rsid w:val="004B0A2F"/>
    <w:rsid w:val="004F7EF1"/>
    <w:rsid w:val="005015D8"/>
    <w:rsid w:val="005034A2"/>
    <w:rsid w:val="005B2CB8"/>
    <w:rsid w:val="005F0814"/>
    <w:rsid w:val="005F3D46"/>
    <w:rsid w:val="006009BD"/>
    <w:rsid w:val="006574C1"/>
    <w:rsid w:val="00683EA7"/>
    <w:rsid w:val="006A1B47"/>
    <w:rsid w:val="006C0982"/>
    <w:rsid w:val="006F3BF8"/>
    <w:rsid w:val="00731E83"/>
    <w:rsid w:val="007C4FCD"/>
    <w:rsid w:val="008052A6"/>
    <w:rsid w:val="00805880"/>
    <w:rsid w:val="00817D24"/>
    <w:rsid w:val="00824114"/>
    <w:rsid w:val="00824EAA"/>
    <w:rsid w:val="0084484B"/>
    <w:rsid w:val="00895BC6"/>
    <w:rsid w:val="008A30CA"/>
    <w:rsid w:val="008A64FA"/>
    <w:rsid w:val="008C775A"/>
    <w:rsid w:val="008F09F0"/>
    <w:rsid w:val="008F1A37"/>
    <w:rsid w:val="009063AC"/>
    <w:rsid w:val="00917695"/>
    <w:rsid w:val="00924123"/>
    <w:rsid w:val="00947AF6"/>
    <w:rsid w:val="00956270"/>
    <w:rsid w:val="009648E6"/>
    <w:rsid w:val="009940B0"/>
    <w:rsid w:val="009A34B5"/>
    <w:rsid w:val="009B0858"/>
    <w:rsid w:val="009B244B"/>
    <w:rsid w:val="009C6815"/>
    <w:rsid w:val="009D531F"/>
    <w:rsid w:val="009F634C"/>
    <w:rsid w:val="00A269FA"/>
    <w:rsid w:val="00A97520"/>
    <w:rsid w:val="00AB3051"/>
    <w:rsid w:val="00AE3181"/>
    <w:rsid w:val="00AF44DC"/>
    <w:rsid w:val="00B07E9A"/>
    <w:rsid w:val="00B150A1"/>
    <w:rsid w:val="00B20CE8"/>
    <w:rsid w:val="00B34866"/>
    <w:rsid w:val="00B706C2"/>
    <w:rsid w:val="00B7639B"/>
    <w:rsid w:val="00B95D57"/>
    <w:rsid w:val="00BB7E0A"/>
    <w:rsid w:val="00C12C29"/>
    <w:rsid w:val="00C502E2"/>
    <w:rsid w:val="00C65E63"/>
    <w:rsid w:val="00C831DD"/>
    <w:rsid w:val="00C87FCE"/>
    <w:rsid w:val="00C911F9"/>
    <w:rsid w:val="00CC3D71"/>
    <w:rsid w:val="00CE51C0"/>
    <w:rsid w:val="00D02C36"/>
    <w:rsid w:val="00D22871"/>
    <w:rsid w:val="00D33F55"/>
    <w:rsid w:val="00D73A52"/>
    <w:rsid w:val="00D777C4"/>
    <w:rsid w:val="00D80E17"/>
    <w:rsid w:val="00DB5F15"/>
    <w:rsid w:val="00DF6674"/>
    <w:rsid w:val="00E66159"/>
    <w:rsid w:val="00E81E1A"/>
    <w:rsid w:val="00E8259C"/>
    <w:rsid w:val="00E90A6F"/>
    <w:rsid w:val="00EA593E"/>
    <w:rsid w:val="00EA72D2"/>
    <w:rsid w:val="00EA7C95"/>
    <w:rsid w:val="00ED7A84"/>
    <w:rsid w:val="00EE26AE"/>
    <w:rsid w:val="00EF583B"/>
    <w:rsid w:val="00F01A1F"/>
    <w:rsid w:val="00F65D65"/>
    <w:rsid w:val="00F76FFF"/>
    <w:rsid w:val="00FA04A2"/>
    <w:rsid w:val="00FB220E"/>
    <w:rsid w:val="00FC773F"/>
    <w:rsid w:val="00FE4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32116"/>
  <w15:docId w15:val="{6860F9C7-1E23-4BA4-8B73-4B87D38D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E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55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E455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90E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E5F"/>
  </w:style>
  <w:style w:type="paragraph" w:styleId="Piedepgina">
    <w:name w:val="footer"/>
    <w:basedOn w:val="Normal"/>
    <w:link w:val="PiedepginaCar"/>
    <w:uiPriority w:val="99"/>
    <w:unhideWhenUsed/>
    <w:rsid w:val="00190E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E5F"/>
  </w:style>
  <w:style w:type="paragraph" w:styleId="Textodeglobo">
    <w:name w:val="Balloon Text"/>
    <w:basedOn w:val="Normal"/>
    <w:link w:val="TextodegloboCar"/>
    <w:uiPriority w:val="99"/>
    <w:semiHidden/>
    <w:unhideWhenUsed/>
    <w:rsid w:val="008C77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75A"/>
    <w:rPr>
      <w:rFonts w:ascii="Tahoma" w:hAnsi="Tahoma" w:cs="Tahoma"/>
      <w:sz w:val="16"/>
      <w:szCs w:val="16"/>
    </w:rPr>
  </w:style>
  <w:style w:type="paragraph" w:styleId="Prrafodelista">
    <w:name w:val="List Paragraph"/>
    <w:basedOn w:val="Normal"/>
    <w:uiPriority w:val="34"/>
    <w:qFormat/>
    <w:rsid w:val="00C502E2"/>
    <w:pPr>
      <w:spacing w:after="0" w:line="240" w:lineRule="auto"/>
      <w:ind w:firstLine="709"/>
      <w:contextualSpacing/>
      <w:jc w:val="both"/>
    </w:pPr>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4181">
      <w:bodyDiv w:val="1"/>
      <w:marLeft w:val="0"/>
      <w:marRight w:val="0"/>
      <w:marTop w:val="0"/>
      <w:marBottom w:val="0"/>
      <w:divBdr>
        <w:top w:val="none" w:sz="0" w:space="0" w:color="auto"/>
        <w:left w:val="none" w:sz="0" w:space="0" w:color="auto"/>
        <w:bottom w:val="none" w:sz="0" w:space="0" w:color="auto"/>
        <w:right w:val="none" w:sz="0" w:space="0" w:color="auto"/>
      </w:divBdr>
    </w:div>
    <w:div w:id="381180162">
      <w:bodyDiv w:val="1"/>
      <w:marLeft w:val="0"/>
      <w:marRight w:val="0"/>
      <w:marTop w:val="0"/>
      <w:marBottom w:val="0"/>
      <w:divBdr>
        <w:top w:val="none" w:sz="0" w:space="0" w:color="auto"/>
        <w:left w:val="none" w:sz="0" w:space="0" w:color="auto"/>
        <w:bottom w:val="none" w:sz="0" w:space="0" w:color="auto"/>
        <w:right w:val="none" w:sz="0" w:space="0" w:color="auto"/>
      </w:divBdr>
    </w:div>
    <w:div w:id="1377698056">
      <w:bodyDiv w:val="1"/>
      <w:marLeft w:val="0"/>
      <w:marRight w:val="0"/>
      <w:marTop w:val="0"/>
      <w:marBottom w:val="0"/>
      <w:divBdr>
        <w:top w:val="none" w:sz="0" w:space="0" w:color="auto"/>
        <w:left w:val="none" w:sz="0" w:space="0" w:color="auto"/>
        <w:bottom w:val="none" w:sz="0" w:space="0" w:color="auto"/>
        <w:right w:val="none" w:sz="0" w:space="0" w:color="auto"/>
      </w:divBdr>
    </w:div>
    <w:div w:id="1812677489">
      <w:bodyDiv w:val="1"/>
      <w:marLeft w:val="0"/>
      <w:marRight w:val="0"/>
      <w:marTop w:val="0"/>
      <w:marBottom w:val="0"/>
      <w:divBdr>
        <w:top w:val="none" w:sz="0" w:space="0" w:color="auto"/>
        <w:left w:val="none" w:sz="0" w:space="0" w:color="auto"/>
        <w:bottom w:val="none" w:sz="0" w:space="0" w:color="auto"/>
        <w:right w:val="none" w:sz="0" w:space="0" w:color="auto"/>
      </w:divBdr>
    </w:div>
    <w:div w:id="1893691297">
      <w:bodyDiv w:val="1"/>
      <w:marLeft w:val="0"/>
      <w:marRight w:val="0"/>
      <w:marTop w:val="0"/>
      <w:marBottom w:val="0"/>
      <w:divBdr>
        <w:top w:val="none" w:sz="0" w:space="0" w:color="auto"/>
        <w:left w:val="none" w:sz="0" w:space="0" w:color="auto"/>
        <w:bottom w:val="none" w:sz="0" w:space="0" w:color="auto"/>
        <w:right w:val="none" w:sz="0" w:space="0" w:color="auto"/>
      </w:divBdr>
    </w:div>
    <w:div w:id="19856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DCC5-C284-4B7A-8E0A-B809AC64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1999</Words>
  <Characters>10998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Elva Blancarte	Rodríguez</cp:lastModifiedBy>
  <cp:revision>2</cp:revision>
  <dcterms:created xsi:type="dcterms:W3CDTF">2023-07-06T15:14:00Z</dcterms:created>
  <dcterms:modified xsi:type="dcterms:W3CDTF">2023-07-06T15:14:00Z</dcterms:modified>
</cp:coreProperties>
</file>